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AB7D" w14:textId="77777777" w:rsidR="0013271D" w:rsidRPr="006E3367" w:rsidRDefault="0013271D" w:rsidP="0013271D">
      <w:pPr>
        <w:pStyle w:val="AttorneyName"/>
        <w:rPr>
          <w:sz w:val="28"/>
          <w:szCs w:val="28"/>
        </w:rPr>
      </w:pPr>
      <w:r w:rsidRPr="006E3367">
        <w:rPr>
          <w:sz w:val="28"/>
          <w:szCs w:val="28"/>
        </w:rPr>
        <w:t>The Law Office of Denise M. Quinterri, PLLC</w:t>
      </w:r>
    </w:p>
    <w:p w14:paraId="1F8BB3BA" w14:textId="77777777" w:rsidR="0013271D" w:rsidRPr="006E3367" w:rsidRDefault="0013271D" w:rsidP="0013271D">
      <w:pPr>
        <w:pStyle w:val="AttorneyName"/>
        <w:rPr>
          <w:sz w:val="28"/>
          <w:szCs w:val="28"/>
        </w:rPr>
      </w:pPr>
      <w:r w:rsidRPr="006E3367">
        <w:rPr>
          <w:sz w:val="28"/>
          <w:szCs w:val="28"/>
        </w:rPr>
        <w:t>161 E. Inverness Dr.</w:t>
      </w:r>
    </w:p>
    <w:p w14:paraId="4D7AADD4" w14:textId="77777777" w:rsidR="0013271D" w:rsidRPr="006E3367" w:rsidRDefault="0013271D" w:rsidP="0013271D">
      <w:pPr>
        <w:pStyle w:val="AttorneyName"/>
        <w:rPr>
          <w:sz w:val="28"/>
          <w:szCs w:val="28"/>
        </w:rPr>
      </w:pPr>
      <w:r w:rsidRPr="006E3367">
        <w:rPr>
          <w:sz w:val="28"/>
          <w:szCs w:val="28"/>
        </w:rPr>
        <w:t>Tucson, AZ 85737</w:t>
      </w:r>
    </w:p>
    <w:p w14:paraId="766B6DE3" w14:textId="77777777" w:rsidR="0013271D" w:rsidRPr="006E3367" w:rsidRDefault="0013271D" w:rsidP="0013271D">
      <w:pPr>
        <w:pStyle w:val="AttorneyName"/>
        <w:rPr>
          <w:sz w:val="28"/>
          <w:szCs w:val="28"/>
        </w:rPr>
      </w:pPr>
      <w:r w:rsidRPr="006E3367">
        <w:rPr>
          <w:sz w:val="28"/>
          <w:szCs w:val="28"/>
        </w:rPr>
        <w:t>Telephone: 480-239-9807</w:t>
      </w:r>
    </w:p>
    <w:p w14:paraId="12638F6F" w14:textId="77777777" w:rsidR="0013271D" w:rsidRPr="006E3367" w:rsidRDefault="0013271D" w:rsidP="0013271D">
      <w:pPr>
        <w:pStyle w:val="AttorneyName"/>
        <w:rPr>
          <w:sz w:val="28"/>
          <w:szCs w:val="28"/>
        </w:rPr>
      </w:pPr>
      <w:bookmarkStart w:id="0" w:name="AttorneyName"/>
      <w:bookmarkEnd w:id="0"/>
      <w:r w:rsidRPr="006E3367">
        <w:rPr>
          <w:sz w:val="28"/>
          <w:szCs w:val="28"/>
        </w:rPr>
        <w:t>dmq@azethicslaw.com</w:t>
      </w:r>
    </w:p>
    <w:p w14:paraId="10825371" w14:textId="77777777" w:rsidR="0013271D" w:rsidRPr="006E3367" w:rsidRDefault="0013271D" w:rsidP="0013271D">
      <w:pPr>
        <w:pStyle w:val="AttorneyName"/>
        <w:rPr>
          <w:sz w:val="28"/>
          <w:szCs w:val="28"/>
        </w:rPr>
      </w:pPr>
      <w:r w:rsidRPr="006E3367">
        <w:rPr>
          <w:sz w:val="28"/>
          <w:szCs w:val="28"/>
        </w:rPr>
        <w:t>Denise M. Quinterri, State Bar No. 020637</w:t>
      </w:r>
    </w:p>
    <w:p w14:paraId="72C7DFC7" w14:textId="39689EAC" w:rsidR="0013271D" w:rsidRPr="006E3367" w:rsidRDefault="0013271D" w:rsidP="0013271D">
      <w:pPr>
        <w:pStyle w:val="AttorneyName"/>
        <w:rPr>
          <w:sz w:val="28"/>
          <w:szCs w:val="28"/>
        </w:rPr>
      </w:pPr>
    </w:p>
    <w:p w14:paraId="61615623" w14:textId="3B5BF116" w:rsidR="009F0E74" w:rsidRPr="0013271D" w:rsidRDefault="009F0E74">
      <w:pPr>
        <w:pStyle w:val="AttorneyName"/>
        <w:rPr>
          <w:sz w:val="28"/>
          <w:szCs w:val="28"/>
        </w:rPr>
      </w:pPr>
    </w:p>
    <w:p w14:paraId="1E853C5C" w14:textId="6D96D0AB" w:rsidR="009F0E74" w:rsidRPr="0011213D" w:rsidRDefault="000C50F1" w:rsidP="0011213D">
      <w:pPr>
        <w:pStyle w:val="Court"/>
        <w:spacing w:line="240" w:lineRule="auto"/>
        <w:rPr>
          <w:rStyle w:val="CourtNameChar"/>
          <w:b/>
          <w:caps/>
          <w:sz w:val="28"/>
          <w:szCs w:val="28"/>
        </w:rPr>
      </w:pPr>
      <w:r w:rsidRPr="0011213D">
        <w:rPr>
          <w:b/>
          <w:sz w:val="28"/>
          <w:szCs w:val="28"/>
        </w:rPr>
        <w:t>IN THE SUPREME COURT</w:t>
      </w:r>
      <w:r w:rsidRPr="0011213D">
        <w:rPr>
          <w:b/>
          <w:sz w:val="28"/>
          <w:szCs w:val="28"/>
        </w:rPr>
        <w:br/>
        <w:t>STATE OF ARIZONA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13271D" w14:paraId="0A124A82" w14:textId="77777777">
        <w:tc>
          <w:tcPr>
            <w:tcW w:w="2500" w:type="pct"/>
            <w:tcBorders>
              <w:bottom w:val="single" w:sz="4" w:space="0" w:color="auto"/>
              <w:right w:val="single" w:sz="4" w:space="0" w:color="auto"/>
            </w:tcBorders>
          </w:tcPr>
          <w:p w14:paraId="1E49D633" w14:textId="77777777" w:rsidR="00414B87" w:rsidRPr="00414B87" w:rsidRDefault="00414B87" w:rsidP="00414B87">
            <w:pPr>
              <w:spacing w:line="264" w:lineRule="auto"/>
              <w:ind w:firstLine="0"/>
              <w:rPr>
                <w:bCs/>
                <w:sz w:val="28"/>
                <w:szCs w:val="28"/>
              </w:rPr>
            </w:pPr>
            <w:r w:rsidRPr="00414B87">
              <w:rPr>
                <w:bCs/>
                <w:sz w:val="28"/>
                <w:szCs w:val="28"/>
              </w:rPr>
              <w:t>In the Matter of:</w:t>
            </w:r>
          </w:p>
          <w:p w14:paraId="11AB1BDA" w14:textId="77777777" w:rsidR="00414B87" w:rsidRPr="00414B87" w:rsidRDefault="00414B87" w:rsidP="00414B87">
            <w:pPr>
              <w:spacing w:line="264" w:lineRule="auto"/>
              <w:ind w:firstLine="0"/>
              <w:rPr>
                <w:bCs/>
                <w:sz w:val="28"/>
                <w:szCs w:val="28"/>
              </w:rPr>
            </w:pPr>
          </w:p>
          <w:p w14:paraId="6C582BF2" w14:textId="77777777" w:rsidR="00414B87" w:rsidRPr="00414B87" w:rsidRDefault="00414B87" w:rsidP="00414B87">
            <w:pPr>
              <w:spacing w:line="264" w:lineRule="auto"/>
              <w:ind w:firstLine="0"/>
              <w:rPr>
                <w:bCs/>
                <w:sz w:val="28"/>
                <w:szCs w:val="28"/>
              </w:rPr>
            </w:pPr>
          </w:p>
          <w:p w14:paraId="5F845EA1" w14:textId="0D9AD422" w:rsidR="009F0E74" w:rsidRPr="0013271D" w:rsidRDefault="00414B87" w:rsidP="00414B87">
            <w:pPr>
              <w:spacing w:line="264" w:lineRule="auto"/>
              <w:ind w:firstLine="0"/>
              <w:rPr>
                <w:sz w:val="28"/>
                <w:szCs w:val="28"/>
              </w:rPr>
            </w:pPr>
            <w:r w:rsidRPr="00414B87">
              <w:rPr>
                <w:sz w:val="28"/>
                <w:szCs w:val="28"/>
              </w:rPr>
              <w:t>PETITION TO AMEND RULE 60, RULES OF THE SUPREME COURT OF ARIZONA</w:t>
            </w:r>
          </w:p>
        </w:tc>
        <w:tc>
          <w:tcPr>
            <w:tcW w:w="2500" w:type="pct"/>
            <w:tcBorders>
              <w:left w:val="nil"/>
            </w:tcBorders>
            <w:tcMar>
              <w:left w:w="115" w:type="dxa"/>
            </w:tcMar>
          </w:tcPr>
          <w:p w14:paraId="742F3789" w14:textId="78A5F817" w:rsidR="009F0E74" w:rsidRPr="0013271D" w:rsidRDefault="005574BF">
            <w:pPr>
              <w:pStyle w:val="CaseNo"/>
              <w:rPr>
                <w:sz w:val="28"/>
                <w:szCs w:val="28"/>
              </w:rPr>
            </w:pPr>
            <w:r>
              <w:rPr>
                <w:sz w:val="28"/>
                <w:szCs w:val="28"/>
              </w:rPr>
              <w:t>Supreme Court No. R-22-0036</w:t>
            </w:r>
            <w:r w:rsidR="00FE2E3F" w:rsidRPr="0013271D">
              <w:rPr>
                <w:sz w:val="28"/>
                <w:szCs w:val="28"/>
              </w:rPr>
              <w:t xml:space="preserve"> </w:t>
            </w:r>
          </w:p>
          <w:sdt>
            <w:sdtPr>
              <w:rPr>
                <w:sz w:val="28"/>
                <w:szCs w:val="28"/>
              </w:rPr>
              <w:alias w:val="Enter pleading title:"/>
              <w:tag w:val=""/>
              <w:id w:val="1390306954"/>
              <w:placeholder>
                <w:docPart w:val="503515F0243546BAB34AE127EF60EFB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52726826" w14:textId="037AA6EF" w:rsidR="009F0E74" w:rsidRPr="0013271D" w:rsidRDefault="00F3177A" w:rsidP="0077251F">
                <w:pPr>
                  <w:pStyle w:val="Pleadingtitle"/>
                  <w:rPr>
                    <w:sz w:val="28"/>
                    <w:szCs w:val="28"/>
                  </w:rPr>
                </w:pPr>
                <w:r>
                  <w:rPr>
                    <w:sz w:val="28"/>
                    <w:szCs w:val="28"/>
                  </w:rPr>
                  <w:t>Comment</w:t>
                </w:r>
                <w:r w:rsidR="00293BDA">
                  <w:rPr>
                    <w:sz w:val="28"/>
                    <w:szCs w:val="28"/>
                  </w:rPr>
                  <w:t xml:space="preserve"> </w:t>
                </w:r>
                <w:r w:rsidR="000E72F6">
                  <w:rPr>
                    <w:sz w:val="28"/>
                    <w:szCs w:val="28"/>
                  </w:rPr>
                  <w:t>O</w:t>
                </w:r>
                <w:r w:rsidR="004E2CE3">
                  <w:rPr>
                    <w:sz w:val="28"/>
                    <w:szCs w:val="28"/>
                  </w:rPr>
                  <w:t>n</w:t>
                </w:r>
                <w:r w:rsidR="00293BDA">
                  <w:rPr>
                    <w:sz w:val="28"/>
                    <w:szCs w:val="28"/>
                  </w:rPr>
                  <w:t xml:space="preserve"> Petition to Amend Rule 60</w:t>
                </w:r>
              </w:p>
            </w:sdtContent>
          </w:sdt>
        </w:tc>
      </w:tr>
    </w:tbl>
    <w:p w14:paraId="7AC10263" w14:textId="77777777" w:rsidR="009F0E74" w:rsidRPr="0013271D" w:rsidRDefault="009F0E74">
      <w:pPr>
        <w:pStyle w:val="NoSpacing"/>
        <w:rPr>
          <w:sz w:val="28"/>
          <w:szCs w:val="28"/>
        </w:rPr>
      </w:pPr>
    </w:p>
    <w:p w14:paraId="04E8B524" w14:textId="4BD932CE" w:rsidR="0080154C" w:rsidRDefault="000C3749" w:rsidP="00D85766">
      <w:pPr>
        <w:ind w:firstLine="0"/>
        <w:jc w:val="both"/>
        <w:rPr>
          <w:sz w:val="28"/>
          <w:szCs w:val="28"/>
        </w:rPr>
      </w:pPr>
      <w:r>
        <w:rPr>
          <w:sz w:val="28"/>
          <w:szCs w:val="28"/>
        </w:rPr>
        <w:tab/>
        <w:t xml:space="preserve">Pursuant to </w:t>
      </w:r>
      <w:r w:rsidR="00E47C60">
        <w:rPr>
          <w:sz w:val="28"/>
          <w:szCs w:val="28"/>
        </w:rPr>
        <w:t>Rule</w:t>
      </w:r>
      <w:r w:rsidR="000E72F6">
        <w:rPr>
          <w:sz w:val="28"/>
          <w:szCs w:val="28"/>
        </w:rPr>
        <w:t xml:space="preserve"> 28</w:t>
      </w:r>
      <w:r w:rsidR="00967CA8">
        <w:rPr>
          <w:sz w:val="28"/>
          <w:szCs w:val="28"/>
        </w:rPr>
        <w:t xml:space="preserve">, Arizona Rules of the Supreme Court, undersigned counsel submits this comment </w:t>
      </w:r>
      <w:r w:rsidR="004E2CE3">
        <w:rPr>
          <w:sz w:val="28"/>
          <w:szCs w:val="28"/>
        </w:rPr>
        <w:t xml:space="preserve">regarding </w:t>
      </w:r>
      <w:r w:rsidR="00E961AA">
        <w:rPr>
          <w:sz w:val="28"/>
          <w:szCs w:val="28"/>
        </w:rPr>
        <w:t xml:space="preserve">the </w:t>
      </w:r>
      <w:r w:rsidR="00967CA8">
        <w:rPr>
          <w:sz w:val="28"/>
          <w:szCs w:val="28"/>
        </w:rPr>
        <w:t>above</w:t>
      </w:r>
      <w:r w:rsidR="00E961AA">
        <w:rPr>
          <w:sz w:val="28"/>
          <w:szCs w:val="28"/>
        </w:rPr>
        <w:t>-</w:t>
      </w:r>
      <w:r w:rsidR="00967CA8">
        <w:rPr>
          <w:sz w:val="28"/>
          <w:szCs w:val="28"/>
        </w:rPr>
        <w:t>referenced rule change petition</w:t>
      </w:r>
      <w:r w:rsidR="00B425C8">
        <w:rPr>
          <w:sz w:val="28"/>
          <w:szCs w:val="28"/>
        </w:rPr>
        <w:t xml:space="preserve"> (the “Petition)</w:t>
      </w:r>
      <w:r w:rsidR="004E2CE3">
        <w:rPr>
          <w:sz w:val="28"/>
          <w:szCs w:val="28"/>
        </w:rPr>
        <w:t xml:space="preserve">.  </w:t>
      </w:r>
      <w:r w:rsidR="002739EB">
        <w:rPr>
          <w:sz w:val="28"/>
          <w:szCs w:val="28"/>
        </w:rPr>
        <w:t xml:space="preserve">  </w:t>
      </w:r>
      <w:r w:rsidR="00E645CA">
        <w:rPr>
          <w:sz w:val="28"/>
          <w:szCs w:val="28"/>
        </w:rPr>
        <w:t xml:space="preserve">While clearly a rule </w:t>
      </w:r>
      <w:r w:rsidR="00D77718">
        <w:rPr>
          <w:sz w:val="28"/>
          <w:szCs w:val="28"/>
        </w:rPr>
        <w:t xml:space="preserve">change makes sense to implement the new </w:t>
      </w:r>
      <w:r w:rsidR="0012000B">
        <w:rPr>
          <w:sz w:val="28"/>
          <w:szCs w:val="28"/>
        </w:rPr>
        <w:t>statute</w:t>
      </w:r>
      <w:r w:rsidR="008445C8">
        <w:rPr>
          <w:sz w:val="28"/>
          <w:szCs w:val="28"/>
        </w:rPr>
        <w:t xml:space="preserve"> </w:t>
      </w:r>
      <w:r w:rsidR="0012000B">
        <w:rPr>
          <w:sz w:val="28"/>
          <w:szCs w:val="28"/>
        </w:rPr>
        <w:t>(</w:t>
      </w:r>
      <w:r w:rsidR="008445C8">
        <w:rPr>
          <w:sz w:val="28"/>
          <w:szCs w:val="28"/>
        </w:rPr>
        <w:t>A.R.S. § 12-353</w:t>
      </w:r>
      <w:r w:rsidR="00652494">
        <w:rPr>
          <w:sz w:val="28"/>
          <w:szCs w:val="28"/>
        </w:rPr>
        <w:t>—</w:t>
      </w:r>
      <w:r w:rsidR="008445C8">
        <w:rPr>
          <w:sz w:val="28"/>
          <w:szCs w:val="28"/>
        </w:rPr>
        <w:t xml:space="preserve"> </w:t>
      </w:r>
      <w:r w:rsidR="0012000B">
        <w:rPr>
          <w:sz w:val="28"/>
          <w:szCs w:val="28"/>
        </w:rPr>
        <w:t xml:space="preserve">which </w:t>
      </w:r>
      <w:r w:rsidR="00FC6336">
        <w:rPr>
          <w:sz w:val="28"/>
          <w:szCs w:val="28"/>
        </w:rPr>
        <w:t xml:space="preserve">does not even appear to be referenced in the Petition), </w:t>
      </w:r>
      <w:r w:rsidR="008445C8">
        <w:rPr>
          <w:sz w:val="28"/>
          <w:szCs w:val="28"/>
        </w:rPr>
        <w:t xml:space="preserve">the Petition </w:t>
      </w:r>
      <w:r w:rsidR="00F41E7E">
        <w:rPr>
          <w:sz w:val="28"/>
          <w:szCs w:val="28"/>
        </w:rPr>
        <w:t>does not fairly address the intent of the legislature</w:t>
      </w:r>
      <w:r w:rsidR="006746B5">
        <w:rPr>
          <w:sz w:val="28"/>
          <w:szCs w:val="28"/>
        </w:rPr>
        <w:t xml:space="preserve"> or the express language of the statute</w:t>
      </w:r>
      <w:r w:rsidR="00FB13B7">
        <w:rPr>
          <w:sz w:val="28"/>
          <w:szCs w:val="28"/>
        </w:rPr>
        <w:t xml:space="preserve">.  Further, </w:t>
      </w:r>
      <w:r w:rsidR="00AD54DA">
        <w:rPr>
          <w:sz w:val="28"/>
          <w:szCs w:val="28"/>
        </w:rPr>
        <w:t xml:space="preserve">the State Bar’s Petition seeks to add something never contemplated </w:t>
      </w:r>
      <w:r w:rsidR="00E31457">
        <w:rPr>
          <w:sz w:val="28"/>
          <w:szCs w:val="28"/>
        </w:rPr>
        <w:t>by</w:t>
      </w:r>
      <w:r w:rsidR="00AD54DA">
        <w:rPr>
          <w:sz w:val="28"/>
          <w:szCs w:val="28"/>
        </w:rPr>
        <w:t xml:space="preserve"> the statute</w:t>
      </w:r>
      <w:r w:rsidR="00E31457">
        <w:rPr>
          <w:sz w:val="28"/>
          <w:szCs w:val="28"/>
        </w:rPr>
        <w:t xml:space="preserve">—a mechanism for the State Bar to seek fees against respondent lawyers </w:t>
      </w:r>
      <w:r w:rsidR="00791F86">
        <w:rPr>
          <w:sz w:val="28"/>
          <w:szCs w:val="28"/>
        </w:rPr>
        <w:t>in discipline proceedings.  Counse</w:t>
      </w:r>
      <w:r w:rsidR="00D85766">
        <w:rPr>
          <w:sz w:val="28"/>
          <w:szCs w:val="28"/>
        </w:rPr>
        <w:t>l</w:t>
      </w:r>
      <w:r w:rsidR="0080154C">
        <w:rPr>
          <w:sz w:val="28"/>
          <w:szCs w:val="28"/>
        </w:rPr>
        <w:t xml:space="preserve"> joins her colleagues, Patricia </w:t>
      </w:r>
      <w:proofErr w:type="gramStart"/>
      <w:r w:rsidR="0080154C">
        <w:rPr>
          <w:sz w:val="28"/>
          <w:szCs w:val="28"/>
        </w:rPr>
        <w:t>Sallen</w:t>
      </w:r>
      <w:proofErr w:type="gramEnd"/>
      <w:r w:rsidR="0080154C">
        <w:rPr>
          <w:sz w:val="28"/>
          <w:szCs w:val="28"/>
        </w:rPr>
        <w:t xml:space="preserve"> and Nancy Greenlee</w:t>
      </w:r>
      <w:r w:rsidR="00F069EF">
        <w:rPr>
          <w:sz w:val="28"/>
          <w:szCs w:val="28"/>
        </w:rPr>
        <w:t>, in firmly opposing the latter</w:t>
      </w:r>
      <w:r w:rsidR="0080154C">
        <w:rPr>
          <w:sz w:val="28"/>
          <w:szCs w:val="28"/>
        </w:rPr>
        <w:t>.</w:t>
      </w:r>
      <w:r w:rsidR="00F069EF">
        <w:rPr>
          <w:sz w:val="28"/>
          <w:szCs w:val="28"/>
        </w:rPr>
        <w:t xml:space="preserve"> </w:t>
      </w:r>
      <w:r w:rsidR="0064700D">
        <w:rPr>
          <w:sz w:val="28"/>
          <w:szCs w:val="28"/>
        </w:rPr>
        <w:t xml:space="preserve"> Regarding the former, counsel agrees that a change to Rule 60 is needed, but firmly opposes th</w:t>
      </w:r>
      <w:r w:rsidR="00CB1747">
        <w:rPr>
          <w:sz w:val="28"/>
          <w:szCs w:val="28"/>
        </w:rPr>
        <w:t xml:space="preserve">e </w:t>
      </w:r>
      <w:r w:rsidR="0064700D">
        <w:rPr>
          <w:sz w:val="28"/>
          <w:szCs w:val="28"/>
        </w:rPr>
        <w:t>proposed langua</w:t>
      </w:r>
      <w:r w:rsidR="00CB1747">
        <w:rPr>
          <w:sz w:val="28"/>
          <w:szCs w:val="28"/>
        </w:rPr>
        <w:t>ge found in the State Bar’s Appendix to its Petition.</w:t>
      </w:r>
    </w:p>
    <w:p w14:paraId="0BCFC2C0" w14:textId="55F7A99C" w:rsidR="00C83639" w:rsidRDefault="005A591F" w:rsidP="00C83639">
      <w:pPr>
        <w:pStyle w:val="ListParagraph"/>
        <w:numPr>
          <w:ilvl w:val="0"/>
          <w:numId w:val="12"/>
        </w:numPr>
        <w:spacing w:line="240" w:lineRule="auto"/>
        <w:jc w:val="both"/>
        <w:rPr>
          <w:b/>
          <w:bCs/>
          <w:sz w:val="28"/>
          <w:szCs w:val="28"/>
        </w:rPr>
      </w:pPr>
      <w:r w:rsidRPr="00C83639">
        <w:rPr>
          <w:b/>
          <w:bCs/>
          <w:sz w:val="28"/>
          <w:szCs w:val="28"/>
        </w:rPr>
        <w:lastRenderedPageBreak/>
        <w:t xml:space="preserve">The Language of the Proposed Rule Change is </w:t>
      </w:r>
      <w:r w:rsidR="008D3AEB" w:rsidRPr="00C83639">
        <w:rPr>
          <w:b/>
          <w:bCs/>
          <w:sz w:val="28"/>
          <w:szCs w:val="28"/>
        </w:rPr>
        <w:t>an Attempted End Run Around the Statute.</w:t>
      </w:r>
    </w:p>
    <w:p w14:paraId="1932B0D2" w14:textId="77777777" w:rsidR="00C83639" w:rsidRPr="00C83639" w:rsidRDefault="00C83639" w:rsidP="00C83639">
      <w:pPr>
        <w:pStyle w:val="ListParagraph"/>
        <w:spacing w:line="240" w:lineRule="auto"/>
        <w:ind w:left="1080" w:firstLine="0"/>
        <w:jc w:val="both"/>
        <w:rPr>
          <w:b/>
          <w:bCs/>
          <w:sz w:val="28"/>
          <w:szCs w:val="28"/>
        </w:rPr>
      </w:pPr>
    </w:p>
    <w:p w14:paraId="25C917D6" w14:textId="6225B802" w:rsidR="008D3AEB" w:rsidRDefault="00DF4C6A" w:rsidP="00C83639">
      <w:pPr>
        <w:ind w:left="360" w:firstLine="360"/>
        <w:jc w:val="both"/>
        <w:rPr>
          <w:sz w:val="28"/>
          <w:szCs w:val="28"/>
        </w:rPr>
      </w:pPr>
      <w:r>
        <w:rPr>
          <w:sz w:val="28"/>
          <w:szCs w:val="28"/>
        </w:rPr>
        <w:t>The statute says this:</w:t>
      </w:r>
    </w:p>
    <w:p w14:paraId="30A116D2" w14:textId="2EF53D9F" w:rsidR="003512FC" w:rsidRPr="00D82A84" w:rsidRDefault="003512FC" w:rsidP="003512FC">
      <w:pPr>
        <w:spacing w:line="240" w:lineRule="auto"/>
        <w:ind w:left="720" w:right="720" w:firstLine="0"/>
        <w:jc w:val="both"/>
        <w:rPr>
          <w:rFonts w:ascii="Times New Roman" w:eastAsia="Times New Roman" w:hAnsi="Times New Roman" w:cs="Times New Roman"/>
          <w:sz w:val="28"/>
          <w:szCs w:val="28"/>
          <w:lang w:eastAsia="en-US"/>
        </w:rPr>
      </w:pPr>
      <w:r w:rsidRPr="003512FC">
        <w:rPr>
          <w:rFonts w:ascii="Times New Roman" w:eastAsia="Times New Roman" w:hAnsi="Times New Roman" w:cs="Times New Roman"/>
          <w:b/>
          <w:bCs/>
          <w:sz w:val="28"/>
          <w:szCs w:val="28"/>
          <w:lang w:eastAsia="en-US"/>
        </w:rPr>
        <w:t>A.</w:t>
      </w:r>
      <w:r w:rsidRPr="003512FC">
        <w:rPr>
          <w:rFonts w:ascii="Times New Roman" w:eastAsia="Times New Roman" w:hAnsi="Times New Roman" w:cs="Times New Roman"/>
          <w:sz w:val="28"/>
          <w:szCs w:val="28"/>
          <w:lang w:eastAsia="en-US"/>
        </w:rPr>
        <w:t xml:space="preserve"> In an attorney discipline matter, if an attorney who is the subject of the charge prevails, in addition to any costs that are awarded by statute, the state bar of Arizona </w:t>
      </w:r>
      <w:r w:rsidRPr="003512FC">
        <w:rPr>
          <w:rFonts w:ascii="Times New Roman" w:eastAsia="Times New Roman" w:hAnsi="Times New Roman" w:cs="Times New Roman"/>
          <w:sz w:val="28"/>
          <w:szCs w:val="28"/>
          <w:u w:val="single"/>
          <w:lang w:eastAsia="en-US"/>
        </w:rPr>
        <w:t>is responsible</w:t>
      </w:r>
      <w:r w:rsidRPr="003512FC">
        <w:rPr>
          <w:rFonts w:ascii="Times New Roman" w:eastAsia="Times New Roman" w:hAnsi="Times New Roman" w:cs="Times New Roman"/>
          <w:sz w:val="28"/>
          <w:szCs w:val="28"/>
          <w:lang w:eastAsia="en-US"/>
        </w:rPr>
        <w:t xml:space="preserve"> to the attorney for any attorney fees and court costs. Court costs include the cost of all stages of the investigation and discipline process and, if applicable, any court litigation and appeal.</w:t>
      </w:r>
    </w:p>
    <w:p w14:paraId="1149D39B" w14:textId="77777777" w:rsidR="003512FC" w:rsidRPr="00D82A84" w:rsidRDefault="003512FC" w:rsidP="003512FC">
      <w:pPr>
        <w:spacing w:line="240" w:lineRule="auto"/>
        <w:ind w:left="720" w:right="720" w:firstLine="0"/>
        <w:jc w:val="both"/>
        <w:rPr>
          <w:rFonts w:ascii="Times New Roman" w:eastAsia="Times New Roman" w:hAnsi="Times New Roman" w:cs="Times New Roman"/>
          <w:sz w:val="28"/>
          <w:szCs w:val="28"/>
          <w:lang w:eastAsia="en-US"/>
        </w:rPr>
      </w:pPr>
    </w:p>
    <w:p w14:paraId="40E14245" w14:textId="498256DA" w:rsidR="003512FC" w:rsidRPr="00D82A84" w:rsidRDefault="003512FC" w:rsidP="00922FC3">
      <w:pPr>
        <w:spacing w:line="240" w:lineRule="auto"/>
        <w:ind w:left="720" w:right="720" w:firstLine="0"/>
        <w:jc w:val="both"/>
        <w:rPr>
          <w:rFonts w:ascii="Times New Roman" w:eastAsia="Times New Roman" w:hAnsi="Times New Roman" w:cs="Times New Roman"/>
          <w:sz w:val="28"/>
          <w:szCs w:val="28"/>
          <w:lang w:eastAsia="en-US"/>
        </w:rPr>
      </w:pPr>
      <w:r w:rsidRPr="003512FC">
        <w:rPr>
          <w:rFonts w:ascii="Times New Roman" w:eastAsia="Times New Roman" w:hAnsi="Times New Roman" w:cs="Times New Roman"/>
          <w:b/>
          <w:bCs/>
          <w:sz w:val="28"/>
          <w:szCs w:val="28"/>
          <w:lang w:eastAsia="en-US"/>
        </w:rPr>
        <w:t>B.</w:t>
      </w:r>
      <w:r w:rsidRPr="003512FC">
        <w:rPr>
          <w:rFonts w:ascii="Times New Roman" w:eastAsia="Times New Roman" w:hAnsi="Times New Roman" w:cs="Times New Roman"/>
          <w:sz w:val="28"/>
          <w:szCs w:val="28"/>
          <w:lang w:eastAsia="en-US"/>
        </w:rPr>
        <w:t xml:space="preserve"> For the purposes of this section, "attorney discipline matter" means </w:t>
      </w:r>
      <w:r w:rsidRPr="003512FC">
        <w:rPr>
          <w:rFonts w:ascii="Times New Roman" w:eastAsia="Times New Roman" w:hAnsi="Times New Roman" w:cs="Times New Roman"/>
          <w:sz w:val="28"/>
          <w:szCs w:val="28"/>
          <w:u w:val="single"/>
          <w:lang w:eastAsia="en-US"/>
        </w:rPr>
        <w:t>any charge that is not dismissed</w:t>
      </w:r>
      <w:r w:rsidRPr="003512FC">
        <w:rPr>
          <w:rFonts w:ascii="Times New Roman" w:eastAsia="Times New Roman" w:hAnsi="Times New Roman" w:cs="Times New Roman"/>
          <w:sz w:val="28"/>
          <w:szCs w:val="28"/>
          <w:lang w:eastAsia="en-US"/>
        </w:rPr>
        <w:t xml:space="preserve"> by the state bar of Arizona before final disposition of the complaint by the presiding disciplinary judge or the supreme court.</w:t>
      </w:r>
    </w:p>
    <w:p w14:paraId="284AB879" w14:textId="77777777" w:rsidR="00922FC3" w:rsidRPr="00922FC3" w:rsidRDefault="00922FC3" w:rsidP="00922FC3">
      <w:pPr>
        <w:spacing w:line="240" w:lineRule="auto"/>
        <w:ind w:left="720" w:right="720" w:firstLine="0"/>
        <w:jc w:val="both"/>
        <w:rPr>
          <w:rFonts w:ascii="Times New Roman" w:eastAsia="Times New Roman" w:hAnsi="Times New Roman" w:cs="Times New Roman"/>
          <w:sz w:val="24"/>
          <w:szCs w:val="24"/>
          <w:lang w:eastAsia="en-US"/>
        </w:rPr>
      </w:pPr>
    </w:p>
    <w:p w14:paraId="65EFD492" w14:textId="74BECED6" w:rsidR="003512FC" w:rsidRPr="003512FC" w:rsidRDefault="003512FC" w:rsidP="003512FC">
      <w:pPr>
        <w:spacing w:after="100" w:afterAutospacing="1" w:line="240" w:lineRule="auto"/>
        <w:ind w:firstLine="0"/>
        <w:rPr>
          <w:rFonts w:ascii="Times New Roman" w:eastAsia="Times New Roman" w:hAnsi="Times New Roman" w:cs="Times New Roman"/>
          <w:sz w:val="28"/>
          <w:szCs w:val="28"/>
          <w:lang w:eastAsia="en-US"/>
        </w:rPr>
      </w:pPr>
      <w:r w:rsidRPr="003512FC">
        <w:rPr>
          <w:rFonts w:ascii="Times New Roman" w:eastAsia="Times New Roman" w:hAnsi="Times New Roman" w:cs="Times New Roman"/>
          <w:sz w:val="28"/>
          <w:szCs w:val="28"/>
          <w:lang w:eastAsia="en-US"/>
        </w:rPr>
        <w:t>A.R.S. § 12-353</w:t>
      </w:r>
      <w:r w:rsidR="00922FC3" w:rsidRPr="00922FC3">
        <w:rPr>
          <w:rFonts w:ascii="Times New Roman" w:eastAsia="Times New Roman" w:hAnsi="Times New Roman" w:cs="Times New Roman"/>
          <w:sz w:val="28"/>
          <w:szCs w:val="28"/>
          <w:lang w:eastAsia="en-US"/>
        </w:rPr>
        <w:t xml:space="preserve"> (emphasis added).</w:t>
      </w:r>
    </w:p>
    <w:p w14:paraId="4457FA71" w14:textId="45A455B6" w:rsidR="009411EC" w:rsidRDefault="00CB2A7D" w:rsidP="008D3DE5">
      <w:pPr>
        <w:ind w:firstLine="720"/>
        <w:jc w:val="both"/>
        <w:rPr>
          <w:sz w:val="28"/>
          <w:szCs w:val="28"/>
        </w:rPr>
      </w:pPr>
      <w:r>
        <w:rPr>
          <w:sz w:val="28"/>
          <w:szCs w:val="28"/>
        </w:rPr>
        <w:t>The Bar’s</w:t>
      </w:r>
      <w:r w:rsidR="007266FD">
        <w:rPr>
          <w:sz w:val="28"/>
          <w:szCs w:val="28"/>
        </w:rPr>
        <w:t xml:space="preserve"> proposed language</w:t>
      </w:r>
      <w:r>
        <w:rPr>
          <w:sz w:val="28"/>
          <w:szCs w:val="28"/>
        </w:rPr>
        <w:t>, however,</w:t>
      </w:r>
      <w:r w:rsidR="007266FD">
        <w:rPr>
          <w:sz w:val="28"/>
          <w:szCs w:val="28"/>
        </w:rPr>
        <w:t xml:space="preserve"> </w:t>
      </w:r>
      <w:r w:rsidR="004A6FDE">
        <w:rPr>
          <w:sz w:val="28"/>
          <w:szCs w:val="28"/>
        </w:rPr>
        <w:t xml:space="preserve">seeks to add the word “may” </w:t>
      </w:r>
      <w:r w:rsidR="008D3DE5">
        <w:rPr>
          <w:sz w:val="28"/>
          <w:szCs w:val="28"/>
        </w:rPr>
        <w:t>which is a significant departure from “is responsible.”  “Is responsible” sounds considerably more like “shall.”</w:t>
      </w:r>
      <w:r w:rsidR="00AE172E">
        <w:rPr>
          <w:sz w:val="28"/>
          <w:szCs w:val="28"/>
        </w:rPr>
        <w:t xml:space="preserve">  There is nothing in the </w:t>
      </w:r>
      <w:r w:rsidR="00820F38">
        <w:rPr>
          <w:sz w:val="28"/>
          <w:szCs w:val="28"/>
        </w:rPr>
        <w:t>statute (which was argued/discussed through the legislative process for quite some time prior to enactment)</w:t>
      </w:r>
      <w:r w:rsidR="0092669A">
        <w:rPr>
          <w:sz w:val="28"/>
          <w:szCs w:val="28"/>
        </w:rPr>
        <w:t xml:space="preserve"> that says anything about the award of fees being discretionary with the Presiding Disciplinary Judge.</w:t>
      </w:r>
      <w:r w:rsidR="009411EC">
        <w:rPr>
          <w:sz w:val="28"/>
          <w:szCs w:val="28"/>
        </w:rPr>
        <w:t xml:space="preserve">  </w:t>
      </w:r>
    </w:p>
    <w:p w14:paraId="78E7A71A" w14:textId="77777777" w:rsidR="0040003E" w:rsidRDefault="009411EC" w:rsidP="00C5644F">
      <w:pPr>
        <w:ind w:firstLine="720"/>
        <w:jc w:val="both"/>
        <w:rPr>
          <w:sz w:val="28"/>
          <w:szCs w:val="28"/>
        </w:rPr>
      </w:pPr>
      <w:r>
        <w:rPr>
          <w:sz w:val="28"/>
          <w:szCs w:val="28"/>
        </w:rPr>
        <w:t xml:space="preserve">Second, the Bar seeks to nullify the </w:t>
      </w:r>
      <w:r w:rsidR="00DA21E4">
        <w:rPr>
          <w:sz w:val="28"/>
          <w:szCs w:val="28"/>
        </w:rPr>
        <w:t xml:space="preserve">language in sub-part B.  Instead of “any charge that is not dismissed,” the Bar </w:t>
      </w:r>
      <w:r w:rsidR="000722D0">
        <w:rPr>
          <w:sz w:val="28"/>
          <w:szCs w:val="28"/>
        </w:rPr>
        <w:t>seeks a rule that only imposes fees where there is “</w:t>
      </w:r>
      <w:r w:rsidR="00E962E1">
        <w:rPr>
          <w:sz w:val="28"/>
          <w:szCs w:val="28"/>
        </w:rPr>
        <w:t>complete</w:t>
      </w:r>
      <w:r w:rsidR="000722D0">
        <w:rPr>
          <w:sz w:val="28"/>
          <w:szCs w:val="28"/>
        </w:rPr>
        <w:t xml:space="preserve"> exoneration.”</w:t>
      </w:r>
      <w:r w:rsidR="00E962E1">
        <w:rPr>
          <w:sz w:val="28"/>
          <w:szCs w:val="28"/>
        </w:rPr>
        <w:t xml:space="preserve">  </w:t>
      </w:r>
      <w:r w:rsidR="00E962E1" w:rsidRPr="00E962E1">
        <w:rPr>
          <w:i/>
          <w:iCs/>
          <w:sz w:val="28"/>
          <w:szCs w:val="28"/>
        </w:rPr>
        <w:t>See</w:t>
      </w:r>
      <w:r w:rsidR="00E962E1">
        <w:rPr>
          <w:sz w:val="28"/>
          <w:szCs w:val="28"/>
        </w:rPr>
        <w:t xml:space="preserve"> proposed comment 2, Bar’s Appendix.</w:t>
      </w:r>
      <w:r w:rsidR="000722D0">
        <w:rPr>
          <w:sz w:val="28"/>
          <w:szCs w:val="28"/>
        </w:rPr>
        <w:t xml:space="preserve"> </w:t>
      </w:r>
      <w:r w:rsidR="00E962E1">
        <w:rPr>
          <w:sz w:val="28"/>
          <w:szCs w:val="28"/>
        </w:rPr>
        <w:t xml:space="preserve"> The Bar goes on to </w:t>
      </w:r>
      <w:r w:rsidR="00E75C1B">
        <w:rPr>
          <w:sz w:val="28"/>
          <w:szCs w:val="28"/>
        </w:rPr>
        <w:t xml:space="preserve">“presume” that a respondent who receives diversion at the end of a contested </w:t>
      </w:r>
      <w:r w:rsidR="00E75C1B">
        <w:rPr>
          <w:sz w:val="28"/>
          <w:szCs w:val="28"/>
        </w:rPr>
        <w:lastRenderedPageBreak/>
        <w:t xml:space="preserve">proceeding has not been “completely exonerated” and therefore is not </w:t>
      </w:r>
      <w:r w:rsidR="000F2C70">
        <w:rPr>
          <w:sz w:val="28"/>
          <w:szCs w:val="28"/>
        </w:rPr>
        <w:t xml:space="preserve">eligible for attorneys’ fees.  </w:t>
      </w:r>
    </w:p>
    <w:p w14:paraId="1F53A4A1" w14:textId="1DD59F4D" w:rsidR="006648CB" w:rsidRDefault="000F2C70" w:rsidP="00C5644F">
      <w:pPr>
        <w:ind w:firstLine="720"/>
        <w:jc w:val="both"/>
        <w:rPr>
          <w:sz w:val="28"/>
          <w:szCs w:val="28"/>
        </w:rPr>
      </w:pPr>
      <w:r>
        <w:rPr>
          <w:sz w:val="28"/>
          <w:szCs w:val="28"/>
        </w:rPr>
        <w:t xml:space="preserve">Counsel strongly objects to this language.  </w:t>
      </w:r>
      <w:r w:rsidR="006E6EF2">
        <w:rPr>
          <w:sz w:val="28"/>
          <w:szCs w:val="28"/>
        </w:rPr>
        <w:t xml:space="preserve">If the State Bar pursues a formal sanction and refuses to consider diversion, despite the respondent lawyer requesting diversion and agreeing to accept diversion, </w:t>
      </w:r>
      <w:r w:rsidR="00E12C3E">
        <w:rPr>
          <w:sz w:val="28"/>
          <w:szCs w:val="28"/>
        </w:rPr>
        <w:t xml:space="preserve">and the respondent then </w:t>
      </w:r>
      <w:r w:rsidR="00F04E4F">
        <w:rPr>
          <w:sz w:val="28"/>
          <w:szCs w:val="28"/>
        </w:rPr>
        <w:t>is forced to</w:t>
      </w:r>
      <w:r w:rsidR="00E12C3E">
        <w:rPr>
          <w:sz w:val="28"/>
          <w:szCs w:val="28"/>
        </w:rPr>
        <w:t xml:space="preserve"> spend</w:t>
      </w:r>
      <w:r w:rsidR="00423CD3">
        <w:rPr>
          <w:sz w:val="28"/>
          <w:szCs w:val="28"/>
        </w:rPr>
        <w:t xml:space="preserve"> tens of thousands of dollars (in addition to stress</w:t>
      </w:r>
      <w:r w:rsidR="00231D9C">
        <w:rPr>
          <w:sz w:val="28"/>
          <w:szCs w:val="28"/>
        </w:rPr>
        <w:t xml:space="preserve"> and</w:t>
      </w:r>
      <w:r w:rsidR="00423CD3">
        <w:rPr>
          <w:sz w:val="28"/>
          <w:szCs w:val="28"/>
        </w:rPr>
        <w:t xml:space="preserve"> time missed from work</w:t>
      </w:r>
      <w:r w:rsidR="00231D9C">
        <w:rPr>
          <w:sz w:val="28"/>
          <w:szCs w:val="28"/>
        </w:rPr>
        <w:t>)</w:t>
      </w:r>
      <w:r w:rsidR="00E12C3E">
        <w:rPr>
          <w:sz w:val="28"/>
          <w:szCs w:val="28"/>
        </w:rPr>
        <w:t xml:space="preserve"> in litigating the matter and succeeds, the respondent has “prevailed” by any reasonable definition of that word.</w:t>
      </w:r>
      <w:r w:rsidR="00C5644F">
        <w:rPr>
          <w:sz w:val="28"/>
          <w:szCs w:val="28"/>
        </w:rPr>
        <w:t xml:space="preserve">  This, in fact, is the much more common situation then a complete dismissal.  This situation has been </w:t>
      </w:r>
      <w:r w:rsidR="0040003E">
        <w:rPr>
          <w:sz w:val="28"/>
          <w:szCs w:val="28"/>
        </w:rPr>
        <w:t xml:space="preserve">raised by respondents’ counsel multiple times in the past, and is the reason that the </w:t>
      </w:r>
      <w:r w:rsidR="00CB078D">
        <w:rPr>
          <w:sz w:val="28"/>
          <w:szCs w:val="28"/>
        </w:rPr>
        <w:t xml:space="preserve">2012 comment to </w:t>
      </w:r>
      <w:r w:rsidR="0040003E">
        <w:rPr>
          <w:sz w:val="28"/>
          <w:szCs w:val="28"/>
        </w:rPr>
        <w:t xml:space="preserve">current Rule 60 contains </w:t>
      </w:r>
      <w:r w:rsidR="00CB078D">
        <w:rPr>
          <w:sz w:val="28"/>
          <w:szCs w:val="28"/>
        </w:rPr>
        <w:t xml:space="preserve">the following language: </w:t>
      </w:r>
    </w:p>
    <w:p w14:paraId="6C95F4DA" w14:textId="3558C523" w:rsidR="00DD08E6" w:rsidRDefault="00A875F2" w:rsidP="00652494">
      <w:pPr>
        <w:spacing w:line="240" w:lineRule="auto"/>
        <w:ind w:left="720" w:right="720" w:firstLine="0"/>
        <w:jc w:val="both"/>
        <w:rPr>
          <w:sz w:val="28"/>
          <w:szCs w:val="28"/>
        </w:rPr>
      </w:pPr>
      <w:r>
        <w:rPr>
          <w:sz w:val="28"/>
          <w:szCs w:val="28"/>
        </w:rPr>
        <w:t>Factors that may be considered in determining ‘good cause’ for a reduction, deferra</w:t>
      </w:r>
      <w:r w:rsidR="00C97CAC">
        <w:rPr>
          <w:sz w:val="28"/>
          <w:szCs w:val="28"/>
        </w:rPr>
        <w:t>l</w:t>
      </w:r>
      <w:r>
        <w:rPr>
          <w:sz w:val="28"/>
          <w:szCs w:val="28"/>
        </w:rPr>
        <w:t xml:space="preserve">, or waiver may include, but are not limited to: </w:t>
      </w:r>
      <w:r w:rsidRPr="00C97CAC">
        <w:rPr>
          <w:sz w:val="28"/>
          <w:szCs w:val="28"/>
          <w:u w:val="single"/>
        </w:rPr>
        <w:t>evidence that respon</w:t>
      </w:r>
      <w:r w:rsidR="00A636F3" w:rsidRPr="00C97CAC">
        <w:rPr>
          <w:sz w:val="28"/>
          <w:szCs w:val="28"/>
          <w:u w:val="single"/>
        </w:rPr>
        <w:t>de</w:t>
      </w:r>
      <w:r w:rsidRPr="00C97CAC">
        <w:rPr>
          <w:sz w:val="28"/>
          <w:szCs w:val="28"/>
          <w:u w:val="single"/>
        </w:rPr>
        <w:t>nt offered in writing to consent, prior</w:t>
      </w:r>
      <w:r w:rsidR="00A636F3" w:rsidRPr="00C97CAC">
        <w:rPr>
          <w:sz w:val="28"/>
          <w:szCs w:val="28"/>
          <w:u w:val="single"/>
        </w:rPr>
        <w:t xml:space="preserve"> to </w:t>
      </w:r>
      <w:r w:rsidR="00A62C43" w:rsidRPr="00C97CAC">
        <w:rPr>
          <w:sz w:val="28"/>
          <w:szCs w:val="28"/>
          <w:u w:val="single"/>
        </w:rPr>
        <w:t>hearing on the merits, to the same or a greater sanction for the same rule violations he or she was found to have violated after that hearing</w:t>
      </w:r>
      <w:r w:rsidR="00A62C43">
        <w:rPr>
          <w:sz w:val="28"/>
          <w:szCs w:val="28"/>
        </w:rPr>
        <w:t>; [. . . ].”</w:t>
      </w:r>
      <w:r w:rsidR="008D3DE5">
        <w:rPr>
          <w:sz w:val="28"/>
          <w:szCs w:val="28"/>
        </w:rPr>
        <w:t xml:space="preserve">  </w:t>
      </w:r>
    </w:p>
    <w:p w14:paraId="298FB29F" w14:textId="77777777" w:rsidR="00652494" w:rsidRDefault="00652494" w:rsidP="00652494">
      <w:pPr>
        <w:spacing w:line="240" w:lineRule="auto"/>
        <w:ind w:left="720" w:right="720" w:firstLine="0"/>
        <w:jc w:val="both"/>
        <w:rPr>
          <w:sz w:val="28"/>
          <w:szCs w:val="28"/>
        </w:rPr>
      </w:pPr>
    </w:p>
    <w:p w14:paraId="5C1115DE" w14:textId="44FFF602" w:rsidR="00DF4C6A" w:rsidRDefault="00DD08E6" w:rsidP="0078648F">
      <w:pPr>
        <w:ind w:firstLine="0"/>
        <w:jc w:val="both"/>
        <w:rPr>
          <w:sz w:val="28"/>
          <w:szCs w:val="28"/>
        </w:rPr>
      </w:pPr>
      <w:r>
        <w:rPr>
          <w:sz w:val="28"/>
          <w:szCs w:val="28"/>
        </w:rPr>
        <w:t>Rule 60, Ariz. R. Sup. Ct., Comment to 2012 Amendment (emphasis added).</w:t>
      </w:r>
      <w:r>
        <w:rPr>
          <w:rStyle w:val="FootnoteReference"/>
          <w:sz w:val="28"/>
          <w:szCs w:val="28"/>
        </w:rPr>
        <w:footnoteReference w:id="1"/>
      </w:r>
      <w:r>
        <w:rPr>
          <w:sz w:val="28"/>
          <w:szCs w:val="28"/>
        </w:rPr>
        <w:t xml:space="preserve"> </w:t>
      </w:r>
    </w:p>
    <w:p w14:paraId="1038408D" w14:textId="3544B30E" w:rsidR="008D3AEB" w:rsidRDefault="0092669A" w:rsidP="00B0560A">
      <w:pPr>
        <w:ind w:firstLine="720"/>
        <w:jc w:val="both"/>
        <w:rPr>
          <w:sz w:val="28"/>
          <w:szCs w:val="28"/>
        </w:rPr>
      </w:pPr>
      <w:bookmarkStart w:id="1" w:name="_Hlk115697822"/>
      <w:r>
        <w:rPr>
          <w:sz w:val="28"/>
          <w:szCs w:val="28"/>
        </w:rPr>
        <w:lastRenderedPageBreak/>
        <w:t xml:space="preserve">While it is certainly concerning that the </w:t>
      </w:r>
      <w:r w:rsidR="00513E63">
        <w:rPr>
          <w:sz w:val="28"/>
          <w:szCs w:val="28"/>
        </w:rPr>
        <w:t xml:space="preserve">Arizona </w:t>
      </w:r>
      <w:r>
        <w:rPr>
          <w:sz w:val="28"/>
          <w:szCs w:val="28"/>
        </w:rPr>
        <w:t>legislature has taken steps here to involve itself in what has traditionally (and many would argue constitutionally) been the sole res</w:t>
      </w:r>
      <w:r w:rsidR="00B75045">
        <w:rPr>
          <w:sz w:val="28"/>
          <w:szCs w:val="28"/>
        </w:rPr>
        <w:t xml:space="preserve">ponsibility of this Court, </w:t>
      </w:r>
      <w:r w:rsidR="009E78CA">
        <w:rPr>
          <w:sz w:val="28"/>
          <w:szCs w:val="28"/>
        </w:rPr>
        <w:t>one would be hard pressed to ima</w:t>
      </w:r>
      <w:bookmarkEnd w:id="1"/>
      <w:r w:rsidR="009E78CA">
        <w:rPr>
          <w:sz w:val="28"/>
          <w:szCs w:val="28"/>
        </w:rPr>
        <w:t>gine that simply ignoring the plain language of the statute is the solution.</w:t>
      </w:r>
      <w:r w:rsidR="006B0CC8">
        <w:rPr>
          <w:sz w:val="28"/>
          <w:szCs w:val="28"/>
        </w:rPr>
        <w:t xml:space="preserve">  In counsel’s opinion, this would not only offend the legislature, </w:t>
      </w:r>
      <w:r w:rsidR="00E97CF4">
        <w:rPr>
          <w:sz w:val="28"/>
          <w:szCs w:val="28"/>
        </w:rPr>
        <w:t>but would likely offend</w:t>
      </w:r>
      <w:r w:rsidR="0093739A">
        <w:rPr>
          <w:sz w:val="28"/>
          <w:szCs w:val="28"/>
        </w:rPr>
        <w:t xml:space="preserve"> many members of the Bar, who have expressed support for this statute as it seems on its face to be common sense.  </w:t>
      </w:r>
      <w:r w:rsidR="00B0560A">
        <w:rPr>
          <w:sz w:val="28"/>
          <w:szCs w:val="28"/>
        </w:rPr>
        <w:t xml:space="preserve">Counsel understands the issues behind the Bar’s concerns </w:t>
      </w:r>
      <w:r w:rsidR="000528DC">
        <w:rPr>
          <w:sz w:val="28"/>
          <w:szCs w:val="28"/>
        </w:rPr>
        <w:t xml:space="preserve">but believes that any changes to the intent of the statute </w:t>
      </w:r>
      <w:r w:rsidR="00893ECA">
        <w:rPr>
          <w:sz w:val="28"/>
          <w:szCs w:val="28"/>
        </w:rPr>
        <w:t xml:space="preserve">should be thoroughly discussed, </w:t>
      </w:r>
      <w:proofErr w:type="gramStart"/>
      <w:r w:rsidR="00893ECA">
        <w:rPr>
          <w:sz w:val="28"/>
          <w:szCs w:val="28"/>
        </w:rPr>
        <w:t>explained</w:t>
      </w:r>
      <w:proofErr w:type="gramEnd"/>
      <w:r w:rsidR="00893ECA">
        <w:rPr>
          <w:sz w:val="28"/>
          <w:szCs w:val="28"/>
        </w:rPr>
        <w:t xml:space="preserve"> and supported with analysis.</w:t>
      </w:r>
      <w:r w:rsidR="009E78CA">
        <w:rPr>
          <w:sz w:val="28"/>
          <w:szCs w:val="28"/>
        </w:rPr>
        <w:t xml:space="preserve"> </w:t>
      </w:r>
    </w:p>
    <w:p w14:paraId="5980E94B" w14:textId="2373D560" w:rsidR="00031DD7" w:rsidRPr="000C0B96" w:rsidRDefault="0078648F" w:rsidP="000C0B96">
      <w:pPr>
        <w:pStyle w:val="ListParagraph"/>
        <w:numPr>
          <w:ilvl w:val="0"/>
          <w:numId w:val="12"/>
        </w:numPr>
        <w:spacing w:line="240" w:lineRule="auto"/>
        <w:jc w:val="both"/>
        <w:rPr>
          <w:b/>
          <w:bCs/>
          <w:sz w:val="28"/>
          <w:szCs w:val="28"/>
        </w:rPr>
      </w:pPr>
      <w:r w:rsidRPr="000C0B96">
        <w:rPr>
          <w:b/>
          <w:bCs/>
          <w:sz w:val="28"/>
          <w:szCs w:val="28"/>
        </w:rPr>
        <w:t xml:space="preserve">Adding A Second </w:t>
      </w:r>
      <w:r w:rsidR="000C0B96" w:rsidRPr="000C0B96">
        <w:rPr>
          <w:b/>
          <w:bCs/>
          <w:sz w:val="28"/>
          <w:szCs w:val="28"/>
        </w:rPr>
        <w:t>Method for the State Bar to Impose Costs on Respondents is Inappropriate for Multiple Reasons</w:t>
      </w:r>
      <w:r w:rsidR="00473778" w:rsidRPr="000C0B96">
        <w:rPr>
          <w:b/>
          <w:bCs/>
          <w:sz w:val="28"/>
          <w:szCs w:val="28"/>
        </w:rPr>
        <w:t>.</w:t>
      </w:r>
    </w:p>
    <w:p w14:paraId="5D14A3FE" w14:textId="4B6662F0" w:rsidR="000C0B96" w:rsidRDefault="000C0B96" w:rsidP="000C0B96">
      <w:pPr>
        <w:ind w:firstLine="0"/>
      </w:pPr>
    </w:p>
    <w:p w14:paraId="46038057" w14:textId="07963328" w:rsidR="00922B46" w:rsidRDefault="003033E3" w:rsidP="00627B8F">
      <w:pPr>
        <w:ind w:firstLine="720"/>
        <w:jc w:val="both"/>
        <w:rPr>
          <w:color w:val="000000"/>
          <w:sz w:val="28"/>
          <w:szCs w:val="28"/>
        </w:rPr>
      </w:pPr>
      <w:r>
        <w:rPr>
          <w:color w:val="000000"/>
          <w:sz w:val="28"/>
          <w:szCs w:val="28"/>
        </w:rPr>
        <w:t xml:space="preserve">Here, Counsel </w:t>
      </w:r>
      <w:r w:rsidR="00736374">
        <w:rPr>
          <w:color w:val="000000"/>
          <w:sz w:val="28"/>
          <w:szCs w:val="28"/>
        </w:rPr>
        <w:t xml:space="preserve">echoes the objections raised by Ms. Greenlee and Ms. Sallen.  This Court’s </w:t>
      </w:r>
      <w:r w:rsidR="00642D64">
        <w:rPr>
          <w:color w:val="000000"/>
          <w:sz w:val="28"/>
          <w:szCs w:val="28"/>
        </w:rPr>
        <w:t>Administrative Order 2011-17</w:t>
      </w:r>
      <w:r w:rsidR="00642D64">
        <w:rPr>
          <w:color w:val="000000"/>
          <w:sz w:val="28"/>
          <w:szCs w:val="28"/>
          <w:vertAlign w:val="superscript"/>
        </w:rPr>
        <w:t xml:space="preserve"> </w:t>
      </w:r>
      <w:r w:rsidR="00736374">
        <w:rPr>
          <w:color w:val="000000"/>
          <w:sz w:val="28"/>
          <w:szCs w:val="28"/>
        </w:rPr>
        <w:t xml:space="preserve">already addresses costs.  Counsel would add that </w:t>
      </w:r>
      <w:r w:rsidR="00425BB1">
        <w:rPr>
          <w:color w:val="000000"/>
          <w:sz w:val="28"/>
          <w:szCs w:val="28"/>
        </w:rPr>
        <w:t xml:space="preserve">(1) lawyers already pay significant dues in Arizona, which are meant to pay for discipline; and (2) </w:t>
      </w:r>
      <w:r w:rsidR="00736374">
        <w:rPr>
          <w:color w:val="000000"/>
          <w:sz w:val="28"/>
          <w:szCs w:val="28"/>
        </w:rPr>
        <w:t xml:space="preserve">the disciplinary costs imposed on respondents in Arizona are already </w:t>
      </w:r>
      <w:r w:rsidR="003600FC">
        <w:rPr>
          <w:color w:val="000000"/>
          <w:sz w:val="28"/>
          <w:szCs w:val="28"/>
        </w:rPr>
        <w:t xml:space="preserve">among the highest in the nation.  </w:t>
      </w:r>
      <w:r w:rsidR="00F367F2">
        <w:rPr>
          <w:color w:val="000000"/>
          <w:sz w:val="28"/>
          <w:szCs w:val="28"/>
        </w:rPr>
        <w:t xml:space="preserve">In </w:t>
      </w:r>
      <w:r w:rsidR="00CF026A">
        <w:rPr>
          <w:color w:val="000000"/>
          <w:sz w:val="28"/>
          <w:szCs w:val="28"/>
        </w:rPr>
        <w:t xml:space="preserve">2020, renowned </w:t>
      </w:r>
      <w:r w:rsidR="00922B46">
        <w:rPr>
          <w:color w:val="000000"/>
          <w:sz w:val="28"/>
          <w:szCs w:val="28"/>
        </w:rPr>
        <w:t xml:space="preserve">(and very much missed) </w:t>
      </w:r>
      <w:r w:rsidR="00CF026A">
        <w:rPr>
          <w:color w:val="000000"/>
          <w:sz w:val="28"/>
          <w:szCs w:val="28"/>
        </w:rPr>
        <w:t>respondent’s counsel Mark I. Harrison submitted a memorandum to the Discipline System Oversight Committee and Justice John Lopez, articulating significant concerns about the costs</w:t>
      </w:r>
      <w:r w:rsidR="00531766">
        <w:rPr>
          <w:color w:val="000000"/>
          <w:sz w:val="28"/>
          <w:szCs w:val="28"/>
        </w:rPr>
        <w:t>, which included the point that the</w:t>
      </w:r>
      <w:r w:rsidR="00922B46">
        <w:rPr>
          <w:color w:val="000000"/>
          <w:sz w:val="28"/>
          <w:szCs w:val="28"/>
        </w:rPr>
        <w:t>y</w:t>
      </w:r>
      <w:r w:rsidR="00531766">
        <w:rPr>
          <w:color w:val="000000"/>
          <w:sz w:val="28"/>
          <w:szCs w:val="28"/>
        </w:rPr>
        <w:t xml:space="preserve"> </w:t>
      </w:r>
      <w:r w:rsidR="00922B46">
        <w:rPr>
          <w:color w:val="000000"/>
          <w:sz w:val="28"/>
          <w:szCs w:val="28"/>
        </w:rPr>
        <w:t>a</w:t>
      </w:r>
      <w:r w:rsidR="00531766">
        <w:rPr>
          <w:color w:val="000000"/>
          <w:sz w:val="28"/>
          <w:szCs w:val="28"/>
        </w:rPr>
        <w:t>re a deterrent to the “fair and consensual resolution of pending bar complaints</w:t>
      </w:r>
      <w:r w:rsidR="00CF026A">
        <w:rPr>
          <w:color w:val="000000"/>
          <w:sz w:val="28"/>
          <w:szCs w:val="28"/>
        </w:rPr>
        <w:t>.</w:t>
      </w:r>
      <w:r w:rsidR="00922B46">
        <w:rPr>
          <w:color w:val="000000"/>
          <w:sz w:val="28"/>
          <w:szCs w:val="28"/>
        </w:rPr>
        <w:t>”</w:t>
      </w:r>
      <w:r w:rsidR="00CF026A">
        <w:rPr>
          <w:color w:val="000000"/>
          <w:sz w:val="28"/>
          <w:szCs w:val="28"/>
        </w:rPr>
        <w:t xml:space="preserve">  </w:t>
      </w:r>
      <w:r w:rsidR="00922B46">
        <w:rPr>
          <w:color w:val="000000"/>
          <w:sz w:val="28"/>
          <w:szCs w:val="28"/>
        </w:rPr>
        <w:t>Mr. Harrison</w:t>
      </w:r>
      <w:r w:rsidR="00CF026A">
        <w:rPr>
          <w:color w:val="000000"/>
          <w:sz w:val="28"/>
          <w:szCs w:val="28"/>
        </w:rPr>
        <w:t xml:space="preserve"> circulated </w:t>
      </w:r>
      <w:r w:rsidR="00CF026A">
        <w:rPr>
          <w:color w:val="000000"/>
          <w:sz w:val="28"/>
          <w:szCs w:val="28"/>
        </w:rPr>
        <w:lastRenderedPageBreak/>
        <w:t>his draft to multiple respondents’ counsel</w:t>
      </w:r>
      <w:r w:rsidR="00531766">
        <w:rPr>
          <w:color w:val="000000"/>
          <w:sz w:val="28"/>
          <w:szCs w:val="28"/>
        </w:rPr>
        <w:t xml:space="preserve"> and noted that there was general agreement.</w:t>
      </w:r>
      <w:r w:rsidR="00531766">
        <w:rPr>
          <w:rStyle w:val="FootnoteReference"/>
          <w:color w:val="000000"/>
          <w:sz w:val="28"/>
          <w:szCs w:val="28"/>
        </w:rPr>
        <w:footnoteReference w:id="2"/>
      </w:r>
      <w:r w:rsidR="00531766">
        <w:rPr>
          <w:color w:val="000000"/>
          <w:sz w:val="28"/>
          <w:szCs w:val="28"/>
        </w:rPr>
        <w:t xml:space="preserve">  </w:t>
      </w:r>
    </w:p>
    <w:p w14:paraId="73EFEE16" w14:textId="563ABCD0" w:rsidR="00627B8F" w:rsidRDefault="009D2B34" w:rsidP="00627B8F">
      <w:pPr>
        <w:ind w:firstLine="720"/>
        <w:jc w:val="both"/>
        <w:rPr>
          <w:sz w:val="28"/>
          <w:szCs w:val="28"/>
        </w:rPr>
      </w:pPr>
      <w:r>
        <w:rPr>
          <w:color w:val="000000"/>
          <w:sz w:val="28"/>
          <w:szCs w:val="28"/>
        </w:rPr>
        <w:t xml:space="preserve">Most importantly, as noted by </w:t>
      </w:r>
      <w:r w:rsidR="00425BB1">
        <w:rPr>
          <w:color w:val="000000"/>
          <w:sz w:val="28"/>
          <w:szCs w:val="28"/>
        </w:rPr>
        <w:t>Greenlee/Sallen</w:t>
      </w:r>
      <w:r>
        <w:rPr>
          <w:color w:val="000000"/>
          <w:sz w:val="28"/>
          <w:szCs w:val="28"/>
        </w:rPr>
        <w:t xml:space="preserve">, such </w:t>
      </w:r>
      <w:r w:rsidR="00627B8F">
        <w:rPr>
          <w:color w:val="000000"/>
          <w:sz w:val="28"/>
          <w:szCs w:val="28"/>
        </w:rPr>
        <w:t xml:space="preserve">significant changes </w:t>
      </w:r>
      <w:r>
        <w:rPr>
          <w:color w:val="000000"/>
          <w:sz w:val="28"/>
          <w:szCs w:val="28"/>
        </w:rPr>
        <w:t xml:space="preserve">should not be made </w:t>
      </w:r>
      <w:r w:rsidR="00627B8F">
        <w:rPr>
          <w:color w:val="000000"/>
          <w:sz w:val="28"/>
          <w:szCs w:val="28"/>
        </w:rPr>
        <w:t>without sufficient notice to and input from Arizona lawyers and interested members of the public</w:t>
      </w:r>
      <w:r w:rsidR="00796D4B">
        <w:rPr>
          <w:color w:val="000000"/>
          <w:sz w:val="28"/>
          <w:szCs w:val="28"/>
        </w:rPr>
        <w:t>, which should take place in open meetings.</w:t>
      </w:r>
    </w:p>
    <w:p w14:paraId="28087431" w14:textId="3D7FC0A0" w:rsidR="00642D64" w:rsidRPr="00A556A9" w:rsidRDefault="00A556A9" w:rsidP="00E5566C">
      <w:pPr>
        <w:pStyle w:val="ListParagraph"/>
        <w:numPr>
          <w:ilvl w:val="0"/>
          <w:numId w:val="12"/>
        </w:numPr>
        <w:jc w:val="both"/>
        <w:rPr>
          <w:b/>
          <w:bCs/>
          <w:color w:val="000000"/>
          <w:sz w:val="28"/>
          <w:szCs w:val="28"/>
        </w:rPr>
      </w:pPr>
      <w:r w:rsidRPr="00A556A9">
        <w:rPr>
          <w:b/>
          <w:bCs/>
          <w:color w:val="000000"/>
          <w:sz w:val="28"/>
          <w:szCs w:val="28"/>
        </w:rPr>
        <w:t>Conclusion</w:t>
      </w:r>
    </w:p>
    <w:p w14:paraId="0F9B961A" w14:textId="4BE87F45" w:rsidR="00E97CF4" w:rsidRPr="00BE1CFA" w:rsidRDefault="0036726E" w:rsidP="00BE1CFA">
      <w:pPr>
        <w:ind w:firstLine="720"/>
        <w:jc w:val="both"/>
        <w:rPr>
          <w:rFonts w:ascii="Times New Roman" w:eastAsia="Times New Roman" w:hAnsi="Times New Roman" w:cs="Times New Roman"/>
          <w:sz w:val="28"/>
          <w:szCs w:val="28"/>
          <w:lang w:eastAsia="en-US"/>
        </w:rPr>
      </w:pPr>
      <w:r>
        <w:rPr>
          <w:sz w:val="28"/>
          <w:szCs w:val="28"/>
        </w:rPr>
        <w:t xml:space="preserve">While </w:t>
      </w:r>
      <w:r w:rsidR="00693F87">
        <w:rPr>
          <w:sz w:val="28"/>
          <w:szCs w:val="28"/>
        </w:rPr>
        <w:t>th</w:t>
      </w:r>
      <w:r w:rsidR="00D44BF8">
        <w:rPr>
          <w:sz w:val="28"/>
          <w:szCs w:val="28"/>
        </w:rPr>
        <w:t>is</w:t>
      </w:r>
      <w:r w:rsidR="00AB0E85" w:rsidRPr="00AB0E85">
        <w:rPr>
          <w:sz w:val="28"/>
          <w:szCs w:val="28"/>
        </w:rPr>
        <w:t xml:space="preserve"> Court </w:t>
      </w:r>
      <w:r w:rsidR="009C3595">
        <w:rPr>
          <w:sz w:val="28"/>
          <w:szCs w:val="28"/>
        </w:rPr>
        <w:t xml:space="preserve">clearly </w:t>
      </w:r>
      <w:r w:rsidR="00AB0E85" w:rsidRPr="00AB0E85">
        <w:rPr>
          <w:sz w:val="28"/>
          <w:szCs w:val="28"/>
        </w:rPr>
        <w:t>has the authority</w:t>
      </w:r>
      <w:r w:rsidR="00D44BF8">
        <w:rPr>
          <w:sz w:val="28"/>
          <w:szCs w:val="28"/>
        </w:rPr>
        <w:t xml:space="preserve"> to implement rule changes, </w:t>
      </w:r>
      <w:r w:rsidR="00317CDC">
        <w:rPr>
          <w:sz w:val="28"/>
          <w:szCs w:val="28"/>
        </w:rPr>
        <w:t>it is counsel’s opinion tha</w:t>
      </w:r>
      <w:r w:rsidR="00E803FB">
        <w:rPr>
          <w:sz w:val="28"/>
          <w:szCs w:val="28"/>
        </w:rPr>
        <w:t xml:space="preserve">t there is considerable work to be done on the language of the proposed rule change to </w:t>
      </w:r>
      <w:r w:rsidR="00B2389D">
        <w:rPr>
          <w:sz w:val="28"/>
          <w:szCs w:val="28"/>
        </w:rPr>
        <w:t xml:space="preserve">avoid an appearance that the wishes of the legislature are being ignored.  It is also counsel’s opinion </w:t>
      </w:r>
      <w:r w:rsidR="00773D11">
        <w:rPr>
          <w:sz w:val="28"/>
          <w:szCs w:val="28"/>
        </w:rPr>
        <w:t>that</w:t>
      </w:r>
      <w:r w:rsidR="00AB0E85" w:rsidRPr="00AB0E85">
        <w:rPr>
          <w:sz w:val="28"/>
          <w:szCs w:val="28"/>
        </w:rPr>
        <w:t xml:space="preserve"> the Court should consider general fairness</w:t>
      </w:r>
      <w:r w:rsidR="00773D11">
        <w:rPr>
          <w:sz w:val="28"/>
          <w:szCs w:val="28"/>
        </w:rPr>
        <w:t xml:space="preserve"> to lawyer-respondents.  While counsel does understand the policy </w:t>
      </w:r>
      <w:r w:rsidR="00BE1CFA">
        <w:rPr>
          <w:sz w:val="28"/>
          <w:szCs w:val="28"/>
        </w:rPr>
        <w:t xml:space="preserve">(including financial) </w:t>
      </w:r>
      <w:r w:rsidR="00773D11">
        <w:rPr>
          <w:sz w:val="28"/>
          <w:szCs w:val="28"/>
        </w:rPr>
        <w:t xml:space="preserve">concerns behind the State Bar’s </w:t>
      </w:r>
      <w:r w:rsidR="00FC6DBA">
        <w:rPr>
          <w:sz w:val="28"/>
          <w:szCs w:val="28"/>
        </w:rPr>
        <w:t xml:space="preserve">opposition to implementing the statute as it is, counsel at the same time believes that </w:t>
      </w:r>
      <w:r w:rsidR="00AB0E85" w:rsidRPr="00AB0E85">
        <w:rPr>
          <w:sz w:val="28"/>
          <w:szCs w:val="28"/>
        </w:rPr>
        <w:t xml:space="preserve">discouraging the Bar from pursuing </w:t>
      </w:r>
      <w:r w:rsidR="00FC6DBA">
        <w:rPr>
          <w:sz w:val="28"/>
          <w:szCs w:val="28"/>
        </w:rPr>
        <w:t xml:space="preserve">overly punitive sanctions is not </w:t>
      </w:r>
      <w:r w:rsidR="009C7FE3">
        <w:rPr>
          <w:sz w:val="28"/>
          <w:szCs w:val="28"/>
        </w:rPr>
        <w:t xml:space="preserve">a bad thing.  </w:t>
      </w:r>
    </w:p>
    <w:p w14:paraId="2B96D944" w14:textId="6549EC32" w:rsidR="000C0B96" w:rsidRDefault="00997A8F" w:rsidP="00486644">
      <w:pPr>
        <w:ind w:firstLine="720"/>
        <w:jc w:val="both"/>
        <w:rPr>
          <w:sz w:val="28"/>
          <w:szCs w:val="28"/>
        </w:rPr>
      </w:pPr>
      <w:r>
        <w:rPr>
          <w:sz w:val="28"/>
          <w:szCs w:val="28"/>
        </w:rPr>
        <w:t xml:space="preserve">Finally, it </w:t>
      </w:r>
      <w:r w:rsidR="009C3595">
        <w:rPr>
          <w:sz w:val="28"/>
          <w:szCs w:val="28"/>
        </w:rPr>
        <w:t>occurs to counsel that</w:t>
      </w:r>
      <w:r>
        <w:rPr>
          <w:sz w:val="28"/>
          <w:szCs w:val="28"/>
        </w:rPr>
        <w:t xml:space="preserve"> </w:t>
      </w:r>
      <w:r w:rsidR="00425BB1">
        <w:rPr>
          <w:sz w:val="28"/>
          <w:szCs w:val="28"/>
        </w:rPr>
        <w:t>a possible</w:t>
      </w:r>
      <w:r>
        <w:rPr>
          <w:sz w:val="28"/>
          <w:szCs w:val="28"/>
        </w:rPr>
        <w:t xml:space="preserve"> way to deal with the concerns is to explore and define </w:t>
      </w:r>
      <w:r w:rsidR="003C32A3">
        <w:rPr>
          <w:sz w:val="28"/>
          <w:szCs w:val="28"/>
        </w:rPr>
        <w:t xml:space="preserve">“prevailing party” and </w:t>
      </w:r>
      <w:r>
        <w:rPr>
          <w:sz w:val="28"/>
          <w:szCs w:val="28"/>
        </w:rPr>
        <w:t>the following language of the statute: “</w:t>
      </w:r>
      <w:r w:rsidRPr="000B67D2">
        <w:rPr>
          <w:sz w:val="28"/>
          <w:szCs w:val="28"/>
        </w:rPr>
        <w:t xml:space="preserve">for any attorney fees and court costs. Court costs include the cost of all stages of the </w:t>
      </w:r>
      <w:r w:rsidRPr="000B67D2">
        <w:rPr>
          <w:sz w:val="28"/>
          <w:szCs w:val="28"/>
        </w:rPr>
        <w:lastRenderedPageBreak/>
        <w:t>investigation and discipline process and, if applicable, any court litigation and appeal.</w:t>
      </w:r>
      <w:r>
        <w:rPr>
          <w:sz w:val="28"/>
          <w:szCs w:val="28"/>
        </w:rPr>
        <w:t xml:space="preserve">”  </w:t>
      </w:r>
      <w:r w:rsidR="006D6A3F">
        <w:rPr>
          <w:sz w:val="28"/>
          <w:szCs w:val="28"/>
        </w:rPr>
        <w:t xml:space="preserve">Actual costs are typically not that extensive.  The issue of the attorneys’ fees is the problem because </w:t>
      </w:r>
      <w:r w:rsidR="009B7AEE">
        <w:rPr>
          <w:sz w:val="28"/>
          <w:szCs w:val="28"/>
        </w:rPr>
        <w:t>those could be quite larg</w:t>
      </w:r>
      <w:r w:rsidR="00A4240C">
        <w:rPr>
          <w:sz w:val="28"/>
          <w:szCs w:val="28"/>
        </w:rPr>
        <w:t>e</w:t>
      </w:r>
      <w:r w:rsidR="006D6A3F">
        <w:rPr>
          <w:sz w:val="28"/>
          <w:szCs w:val="28"/>
        </w:rPr>
        <w:t xml:space="preserve">.  In that regard, </w:t>
      </w:r>
      <w:r w:rsidR="00650708">
        <w:rPr>
          <w:sz w:val="28"/>
          <w:szCs w:val="28"/>
        </w:rPr>
        <w:t>p</w:t>
      </w:r>
      <w:r w:rsidR="003C32A3">
        <w:rPr>
          <w:sz w:val="28"/>
          <w:szCs w:val="28"/>
        </w:rPr>
        <w:t xml:space="preserve">erhaps </w:t>
      </w:r>
      <w:r w:rsidR="00B64E1D">
        <w:rPr>
          <w:sz w:val="28"/>
          <w:szCs w:val="28"/>
        </w:rPr>
        <w:t xml:space="preserve">language such as in the current footnote could be utilized—for instance, making the award turn on </w:t>
      </w:r>
      <w:r w:rsidR="0064314A">
        <w:rPr>
          <w:sz w:val="28"/>
          <w:szCs w:val="28"/>
        </w:rPr>
        <w:t>an affirmative offer in writin</w:t>
      </w:r>
      <w:r w:rsidR="000F46A9">
        <w:rPr>
          <w:sz w:val="28"/>
          <w:szCs w:val="28"/>
        </w:rPr>
        <w:t>g</w:t>
      </w:r>
      <w:r w:rsidR="00A4240C">
        <w:rPr>
          <w:sz w:val="28"/>
          <w:szCs w:val="28"/>
        </w:rPr>
        <w:t>.</w:t>
      </w:r>
      <w:r w:rsidR="0064314A">
        <w:rPr>
          <w:sz w:val="28"/>
          <w:szCs w:val="28"/>
        </w:rPr>
        <w:t xml:space="preserve"> </w:t>
      </w:r>
      <w:r>
        <w:rPr>
          <w:sz w:val="28"/>
          <w:szCs w:val="28"/>
        </w:rPr>
        <w:t xml:space="preserve"> </w:t>
      </w:r>
    </w:p>
    <w:p w14:paraId="5FF7374B" w14:textId="77777777" w:rsidR="009C3595" w:rsidRDefault="009C3595" w:rsidP="00486644">
      <w:pPr>
        <w:ind w:firstLine="720"/>
        <w:jc w:val="both"/>
        <w:rPr>
          <w:sz w:val="28"/>
          <w:szCs w:val="28"/>
        </w:rPr>
      </w:pPr>
    </w:p>
    <w:p w14:paraId="74828D28" w14:textId="6E8002A7" w:rsidR="009F0E74" w:rsidRDefault="00486644">
      <w:pPr>
        <w:pStyle w:val="Date"/>
        <w:rPr>
          <w:sz w:val="28"/>
          <w:szCs w:val="28"/>
        </w:rPr>
      </w:pPr>
      <w:r>
        <w:rPr>
          <w:sz w:val="28"/>
          <w:szCs w:val="28"/>
        </w:rPr>
        <w:t>Respectfully submitted this 3</w:t>
      </w:r>
      <w:r w:rsidRPr="00486644">
        <w:rPr>
          <w:sz w:val="28"/>
          <w:szCs w:val="28"/>
          <w:vertAlign w:val="superscript"/>
        </w:rPr>
        <w:t>rd</w:t>
      </w:r>
      <w:r>
        <w:rPr>
          <w:sz w:val="28"/>
          <w:szCs w:val="28"/>
        </w:rPr>
        <w:t xml:space="preserve"> day</w:t>
      </w:r>
      <w:r w:rsidR="00AE557D" w:rsidRPr="0013271D">
        <w:rPr>
          <w:sz w:val="28"/>
          <w:szCs w:val="28"/>
        </w:rPr>
        <w:t xml:space="preserve"> </w:t>
      </w:r>
      <w:r w:rsidR="00B425C8">
        <w:rPr>
          <w:sz w:val="28"/>
          <w:szCs w:val="28"/>
        </w:rPr>
        <w:t xml:space="preserve">of </w:t>
      </w:r>
      <w:proofErr w:type="gramStart"/>
      <w:r>
        <w:rPr>
          <w:sz w:val="28"/>
          <w:szCs w:val="28"/>
        </w:rPr>
        <w:t>October</w:t>
      </w:r>
      <w:r w:rsidR="00FE2E3F" w:rsidRPr="0013271D">
        <w:rPr>
          <w:sz w:val="28"/>
          <w:szCs w:val="28"/>
        </w:rPr>
        <w:t>,</w:t>
      </w:r>
      <w:proofErr w:type="gramEnd"/>
      <w:r>
        <w:rPr>
          <w:sz w:val="28"/>
          <w:szCs w:val="28"/>
        </w:rPr>
        <w:t xml:space="preserve"> 2022</w:t>
      </w:r>
      <w:r w:rsidR="00FE2E3F" w:rsidRPr="0013271D">
        <w:rPr>
          <w:sz w:val="28"/>
          <w:szCs w:val="28"/>
        </w:rPr>
        <w:t>.</w:t>
      </w:r>
    </w:p>
    <w:p w14:paraId="582807FF" w14:textId="78B1AD0A" w:rsidR="000F46A9" w:rsidRDefault="00D542FD" w:rsidP="000F46A9">
      <w:r>
        <w:tab/>
      </w:r>
      <w:r>
        <w:tab/>
      </w:r>
      <w:r>
        <w:tab/>
      </w:r>
      <w:r>
        <w:tab/>
      </w:r>
      <w:r>
        <w:tab/>
      </w:r>
      <w:r>
        <w:rPr>
          <w:noProof/>
        </w:rPr>
        <w:drawing>
          <wp:inline distT="0" distB="0" distL="0" distR="0" wp14:anchorId="38663A67" wp14:editId="5D755102">
            <wp:extent cx="2076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pic:spPr>
                </pic:pic>
              </a:graphicData>
            </a:graphic>
          </wp:inline>
        </w:drawing>
      </w:r>
    </w:p>
    <w:p w14:paraId="123C3F9C" w14:textId="77777777" w:rsidR="000F46A9" w:rsidRPr="000F46A9" w:rsidRDefault="000F46A9" w:rsidP="000F46A9"/>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RPr="0013271D" w14:paraId="52711836" w14:textId="77777777" w:rsidTr="00895FB1">
        <w:tc>
          <w:tcPr>
            <w:tcW w:w="9350" w:type="dxa"/>
          </w:tcPr>
          <w:p w14:paraId="4F6E3842" w14:textId="2FF52AEA" w:rsidR="00396944" w:rsidRPr="0013271D" w:rsidRDefault="00486644" w:rsidP="006E2BD1">
            <w:pPr>
              <w:pStyle w:val="AttorneyName"/>
              <w:rPr>
                <w:sz w:val="28"/>
                <w:szCs w:val="28"/>
              </w:rPr>
            </w:pPr>
            <w:r>
              <w:rPr>
                <w:sz w:val="28"/>
                <w:szCs w:val="28"/>
              </w:rPr>
              <w:t>Denise M. Quinterri</w:t>
            </w:r>
          </w:p>
        </w:tc>
      </w:tr>
    </w:tbl>
    <w:p w14:paraId="57BAC075" w14:textId="77777777" w:rsidR="00396944" w:rsidRPr="0013271D" w:rsidRDefault="00396944" w:rsidP="00396944">
      <w:pPr>
        <w:rPr>
          <w:sz w:val="28"/>
          <w:szCs w:val="28"/>
        </w:rPr>
      </w:pPr>
    </w:p>
    <w:sectPr w:rsidR="00396944" w:rsidRPr="0013271D">
      <w:headerReference w:type="default" r:id="rId12"/>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A8A3" w14:textId="77777777" w:rsidR="00A2037B" w:rsidRDefault="00A2037B">
      <w:r>
        <w:separator/>
      </w:r>
    </w:p>
    <w:p w14:paraId="6CA52CA9" w14:textId="77777777" w:rsidR="00A2037B" w:rsidRDefault="00A2037B"/>
  </w:endnote>
  <w:endnote w:type="continuationSeparator" w:id="0">
    <w:p w14:paraId="382F1921" w14:textId="77777777" w:rsidR="00A2037B" w:rsidRDefault="00A2037B">
      <w:r>
        <w:continuationSeparator/>
      </w:r>
    </w:p>
    <w:p w14:paraId="01E3C9AE" w14:textId="77777777" w:rsidR="00A2037B" w:rsidRDefault="00A20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D1B5" w14:textId="77777777" w:rsidR="00A2037B" w:rsidRDefault="00A2037B">
      <w:r>
        <w:separator/>
      </w:r>
    </w:p>
    <w:p w14:paraId="4288D8EA" w14:textId="77777777" w:rsidR="00A2037B" w:rsidRDefault="00A2037B"/>
  </w:footnote>
  <w:footnote w:type="continuationSeparator" w:id="0">
    <w:p w14:paraId="04E0648B" w14:textId="77777777" w:rsidR="00A2037B" w:rsidRDefault="00A2037B">
      <w:r>
        <w:continuationSeparator/>
      </w:r>
    </w:p>
    <w:p w14:paraId="2F7DE6C3" w14:textId="77777777" w:rsidR="00A2037B" w:rsidRDefault="00A2037B"/>
  </w:footnote>
  <w:footnote w:id="1">
    <w:p w14:paraId="4EBA0B36" w14:textId="5CD1AAEF" w:rsidR="00DD08E6" w:rsidRPr="00922B46" w:rsidRDefault="00DD08E6" w:rsidP="004A7DFB">
      <w:pPr>
        <w:pStyle w:val="FootnoteText"/>
        <w:ind w:firstLine="0"/>
        <w:jc w:val="both"/>
        <w:rPr>
          <w:sz w:val="24"/>
          <w:szCs w:val="24"/>
        </w:rPr>
      </w:pPr>
      <w:r w:rsidRPr="00922B46">
        <w:rPr>
          <w:rStyle w:val="FootnoteReference"/>
          <w:sz w:val="24"/>
          <w:szCs w:val="24"/>
        </w:rPr>
        <w:footnoteRef/>
      </w:r>
      <w:r w:rsidRPr="00922B46">
        <w:rPr>
          <w:sz w:val="24"/>
          <w:szCs w:val="24"/>
        </w:rPr>
        <w:t xml:space="preserve">   </w:t>
      </w:r>
      <w:r w:rsidR="00F04E4F">
        <w:rPr>
          <w:sz w:val="24"/>
          <w:szCs w:val="24"/>
        </w:rPr>
        <w:t>In</w:t>
      </w:r>
      <w:r w:rsidRPr="00922B46">
        <w:rPr>
          <w:sz w:val="24"/>
          <w:szCs w:val="24"/>
        </w:rPr>
        <w:t xml:space="preserve"> Counsel’s recollection, this language was </w:t>
      </w:r>
      <w:r w:rsidR="00A57925" w:rsidRPr="00922B46">
        <w:rPr>
          <w:sz w:val="24"/>
          <w:szCs w:val="24"/>
        </w:rPr>
        <w:t xml:space="preserve">included prior to the 2012 version as well, but Counsel unfortunately does not have a </w:t>
      </w:r>
      <w:r w:rsidR="0059393E" w:rsidRPr="00922B46">
        <w:rPr>
          <w:sz w:val="24"/>
          <w:szCs w:val="24"/>
        </w:rPr>
        <w:t xml:space="preserve">2010 or </w:t>
      </w:r>
      <w:r w:rsidR="00025E02" w:rsidRPr="00922B46">
        <w:rPr>
          <w:sz w:val="24"/>
          <w:szCs w:val="24"/>
        </w:rPr>
        <w:t xml:space="preserve">2011 rule book </w:t>
      </w:r>
      <w:r w:rsidR="004458A2" w:rsidRPr="00922B46">
        <w:rPr>
          <w:sz w:val="24"/>
          <w:szCs w:val="24"/>
        </w:rPr>
        <w:t>at hand</w:t>
      </w:r>
      <w:r w:rsidR="00025E02" w:rsidRPr="00922B46">
        <w:rPr>
          <w:sz w:val="24"/>
          <w:szCs w:val="24"/>
        </w:rPr>
        <w:t xml:space="preserve">.  Counsel specifically recalls that </w:t>
      </w:r>
      <w:r w:rsidRPr="00922B46">
        <w:rPr>
          <w:sz w:val="24"/>
          <w:szCs w:val="24"/>
        </w:rPr>
        <w:t xml:space="preserve">following testimony </w:t>
      </w:r>
      <w:r w:rsidR="00D02B19" w:rsidRPr="00922B46">
        <w:rPr>
          <w:sz w:val="24"/>
          <w:szCs w:val="24"/>
        </w:rPr>
        <w:t>by Counsel and Nancy Greenlee</w:t>
      </w:r>
      <w:r w:rsidR="002D65FF" w:rsidRPr="00922B46">
        <w:rPr>
          <w:sz w:val="24"/>
          <w:szCs w:val="24"/>
        </w:rPr>
        <w:t xml:space="preserve"> on the issue</w:t>
      </w:r>
      <w:r w:rsidR="00025E02" w:rsidRPr="00922B46">
        <w:rPr>
          <w:sz w:val="24"/>
          <w:szCs w:val="24"/>
        </w:rPr>
        <w:t xml:space="preserve">, </w:t>
      </w:r>
      <w:r w:rsidR="00025E02" w:rsidRPr="00922B46">
        <w:rPr>
          <w:sz w:val="24"/>
          <w:szCs w:val="24"/>
        </w:rPr>
        <w:t>Justice Michael D. Ryan</w:t>
      </w:r>
      <w:r w:rsidR="007A5B6C" w:rsidRPr="00922B46">
        <w:rPr>
          <w:sz w:val="24"/>
          <w:szCs w:val="24"/>
        </w:rPr>
        <w:t xml:space="preserve"> instructed </w:t>
      </w:r>
      <w:r w:rsidR="0059393E" w:rsidRPr="00922B46">
        <w:rPr>
          <w:sz w:val="24"/>
          <w:szCs w:val="24"/>
        </w:rPr>
        <w:t xml:space="preserve">a </w:t>
      </w:r>
      <w:r w:rsidR="007A5B6C" w:rsidRPr="00922B46">
        <w:rPr>
          <w:sz w:val="24"/>
          <w:szCs w:val="24"/>
        </w:rPr>
        <w:t xml:space="preserve">Committee member </w:t>
      </w:r>
      <w:r w:rsidR="0059393E" w:rsidRPr="00922B46">
        <w:rPr>
          <w:sz w:val="24"/>
          <w:szCs w:val="24"/>
        </w:rPr>
        <w:t xml:space="preserve">(counsel </w:t>
      </w:r>
      <w:r w:rsidR="009E55D3" w:rsidRPr="00922B46">
        <w:rPr>
          <w:sz w:val="24"/>
          <w:szCs w:val="24"/>
        </w:rPr>
        <w:t xml:space="preserve">believes it was </w:t>
      </w:r>
      <w:r w:rsidR="007A5B6C" w:rsidRPr="00922B46">
        <w:rPr>
          <w:sz w:val="24"/>
          <w:szCs w:val="24"/>
        </w:rPr>
        <w:t>Pamela Treadwell Rubin</w:t>
      </w:r>
      <w:r w:rsidR="009E55D3" w:rsidRPr="00922B46">
        <w:rPr>
          <w:sz w:val="24"/>
          <w:szCs w:val="24"/>
        </w:rPr>
        <w:t>)</w:t>
      </w:r>
      <w:r w:rsidR="007A5B6C" w:rsidRPr="00922B46">
        <w:rPr>
          <w:sz w:val="24"/>
          <w:szCs w:val="24"/>
        </w:rPr>
        <w:t xml:space="preserve"> to </w:t>
      </w:r>
      <w:r w:rsidR="00D70FF1" w:rsidRPr="00922B46">
        <w:rPr>
          <w:sz w:val="24"/>
          <w:szCs w:val="24"/>
        </w:rPr>
        <w:t xml:space="preserve">include language allowing for waiver in those circumstances.  This took place during a Committee meeting on </w:t>
      </w:r>
      <w:r w:rsidR="00C7113E" w:rsidRPr="00922B46">
        <w:rPr>
          <w:sz w:val="24"/>
          <w:szCs w:val="24"/>
        </w:rPr>
        <w:t>implementing the new disciplinary rules</w:t>
      </w:r>
      <w:r w:rsidR="00025E02" w:rsidRPr="00922B46">
        <w:rPr>
          <w:sz w:val="24"/>
          <w:szCs w:val="24"/>
        </w:rPr>
        <w:t xml:space="preserve">, which </w:t>
      </w:r>
      <w:r w:rsidR="004458A2" w:rsidRPr="00922B46">
        <w:rPr>
          <w:sz w:val="24"/>
          <w:szCs w:val="24"/>
        </w:rPr>
        <w:t xml:space="preserve">took place </w:t>
      </w:r>
      <w:r w:rsidR="002F7AD4" w:rsidRPr="00922B46">
        <w:rPr>
          <w:sz w:val="24"/>
          <w:szCs w:val="24"/>
        </w:rPr>
        <w:t xml:space="preserve">before </w:t>
      </w:r>
      <w:r w:rsidR="004458A2" w:rsidRPr="00922B46">
        <w:rPr>
          <w:sz w:val="24"/>
          <w:szCs w:val="24"/>
        </w:rPr>
        <w:t>2012.</w:t>
      </w:r>
      <w:r w:rsidR="00C7113E" w:rsidRPr="00922B46">
        <w:rPr>
          <w:sz w:val="24"/>
          <w:szCs w:val="24"/>
        </w:rPr>
        <w:t xml:space="preserve"> </w:t>
      </w:r>
      <w:r w:rsidR="00D02B19" w:rsidRPr="00922B46">
        <w:rPr>
          <w:sz w:val="24"/>
          <w:szCs w:val="24"/>
        </w:rPr>
        <w:t xml:space="preserve"> </w:t>
      </w:r>
    </w:p>
  </w:footnote>
  <w:footnote w:id="2">
    <w:p w14:paraId="7D778209" w14:textId="4F5112B1" w:rsidR="00531766" w:rsidRPr="00531766" w:rsidRDefault="00531766" w:rsidP="00531766">
      <w:pPr>
        <w:pStyle w:val="FootnoteText"/>
        <w:ind w:firstLine="720"/>
        <w:jc w:val="both"/>
        <w:rPr>
          <w:sz w:val="28"/>
          <w:szCs w:val="28"/>
        </w:rPr>
      </w:pPr>
      <w:r w:rsidRPr="00531766">
        <w:rPr>
          <w:rStyle w:val="FootnoteReference"/>
          <w:sz w:val="28"/>
          <w:szCs w:val="28"/>
        </w:rPr>
        <w:footnoteRef/>
      </w:r>
      <w:r w:rsidRPr="00531766">
        <w:rPr>
          <w:sz w:val="28"/>
          <w:szCs w:val="28"/>
        </w:rPr>
        <w:t xml:space="preserve">  Counsel has copies of a draft dated September 25, 2020, </w:t>
      </w:r>
      <w:proofErr w:type="gramStart"/>
      <w:r w:rsidRPr="00531766">
        <w:rPr>
          <w:sz w:val="28"/>
          <w:szCs w:val="28"/>
        </w:rPr>
        <w:t>and also</w:t>
      </w:r>
      <w:proofErr w:type="gramEnd"/>
      <w:r w:rsidRPr="00531766">
        <w:rPr>
          <w:sz w:val="28"/>
          <w:szCs w:val="28"/>
        </w:rPr>
        <w:t xml:space="preserve"> a pdf, but counsel is unsure if additional changes were made before Mr. Harrison submitted his final version.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BC3F"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6D50FD33" wp14:editId="570E875C">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01DA709"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636BBBBF" wp14:editId="370E7ABC">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BBBF"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309D"/>
    <w:multiLevelType w:val="hybridMultilevel"/>
    <w:tmpl w:val="848422DA"/>
    <w:lvl w:ilvl="0" w:tplc="5846F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C4B50"/>
    <w:multiLevelType w:val="hybridMultilevel"/>
    <w:tmpl w:val="8F4E08CA"/>
    <w:lvl w:ilvl="0" w:tplc="E294F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880095">
    <w:abstractNumId w:val="9"/>
  </w:num>
  <w:num w:numId="2" w16cid:durableId="1973830227">
    <w:abstractNumId w:val="7"/>
  </w:num>
  <w:num w:numId="3" w16cid:durableId="807436248">
    <w:abstractNumId w:val="6"/>
  </w:num>
  <w:num w:numId="4" w16cid:durableId="1293319422">
    <w:abstractNumId w:val="5"/>
  </w:num>
  <w:num w:numId="5" w16cid:durableId="1264535261">
    <w:abstractNumId w:val="4"/>
  </w:num>
  <w:num w:numId="6" w16cid:durableId="953514308">
    <w:abstractNumId w:val="8"/>
  </w:num>
  <w:num w:numId="7" w16cid:durableId="410154058">
    <w:abstractNumId w:val="3"/>
  </w:num>
  <w:num w:numId="8" w16cid:durableId="2052923413">
    <w:abstractNumId w:val="2"/>
  </w:num>
  <w:num w:numId="9" w16cid:durableId="1204827933">
    <w:abstractNumId w:val="1"/>
  </w:num>
  <w:num w:numId="10" w16cid:durableId="492839120">
    <w:abstractNumId w:val="0"/>
  </w:num>
  <w:num w:numId="11" w16cid:durableId="1277715201">
    <w:abstractNumId w:val="11"/>
  </w:num>
  <w:num w:numId="12" w16cid:durableId="573324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D"/>
    <w:rsid w:val="00025E02"/>
    <w:rsid w:val="00031DD7"/>
    <w:rsid w:val="000528DC"/>
    <w:rsid w:val="000722D0"/>
    <w:rsid w:val="000A4030"/>
    <w:rsid w:val="000B67D2"/>
    <w:rsid w:val="000C0B96"/>
    <w:rsid w:val="000C3749"/>
    <w:rsid w:val="000C3FB2"/>
    <w:rsid w:val="000C50F1"/>
    <w:rsid w:val="000D10C3"/>
    <w:rsid w:val="000E72F6"/>
    <w:rsid w:val="000F2C70"/>
    <w:rsid w:val="000F46A9"/>
    <w:rsid w:val="0011213D"/>
    <w:rsid w:val="0012000B"/>
    <w:rsid w:val="0013271D"/>
    <w:rsid w:val="001D62EE"/>
    <w:rsid w:val="0022340C"/>
    <w:rsid w:val="002275A0"/>
    <w:rsid w:val="00231407"/>
    <w:rsid w:val="00231D9C"/>
    <w:rsid w:val="002659FD"/>
    <w:rsid w:val="002739EB"/>
    <w:rsid w:val="00293BDA"/>
    <w:rsid w:val="002C4561"/>
    <w:rsid w:val="002D65FF"/>
    <w:rsid w:val="002F7AD4"/>
    <w:rsid w:val="003033E3"/>
    <w:rsid w:val="00317CDC"/>
    <w:rsid w:val="003512FC"/>
    <w:rsid w:val="003600FC"/>
    <w:rsid w:val="0036726E"/>
    <w:rsid w:val="00396944"/>
    <w:rsid w:val="003A2162"/>
    <w:rsid w:val="003A65EA"/>
    <w:rsid w:val="003C32A3"/>
    <w:rsid w:val="003F04FC"/>
    <w:rsid w:val="0040003E"/>
    <w:rsid w:val="00414B87"/>
    <w:rsid w:val="00423CD3"/>
    <w:rsid w:val="00425BB1"/>
    <w:rsid w:val="00441EBC"/>
    <w:rsid w:val="004458A2"/>
    <w:rsid w:val="00473778"/>
    <w:rsid w:val="00474407"/>
    <w:rsid w:val="00486644"/>
    <w:rsid w:val="004A6FDE"/>
    <w:rsid w:val="004A7DFB"/>
    <w:rsid w:val="004E2CE3"/>
    <w:rsid w:val="00513E63"/>
    <w:rsid w:val="00523E1C"/>
    <w:rsid w:val="00531766"/>
    <w:rsid w:val="005325D0"/>
    <w:rsid w:val="005555C7"/>
    <w:rsid w:val="005574BF"/>
    <w:rsid w:val="005702AB"/>
    <w:rsid w:val="00574CE6"/>
    <w:rsid w:val="0059393E"/>
    <w:rsid w:val="005A591F"/>
    <w:rsid w:val="00627B8F"/>
    <w:rsid w:val="00642D64"/>
    <w:rsid w:val="0064314A"/>
    <w:rsid w:val="0064700D"/>
    <w:rsid w:val="00650708"/>
    <w:rsid w:val="00652494"/>
    <w:rsid w:val="00663196"/>
    <w:rsid w:val="006648CB"/>
    <w:rsid w:val="006746B5"/>
    <w:rsid w:val="00693F87"/>
    <w:rsid w:val="006B0CC8"/>
    <w:rsid w:val="006D6A3F"/>
    <w:rsid w:val="006E2BD1"/>
    <w:rsid w:val="006E6EF2"/>
    <w:rsid w:val="0071462B"/>
    <w:rsid w:val="007266FD"/>
    <w:rsid w:val="007357F6"/>
    <w:rsid w:val="00736374"/>
    <w:rsid w:val="0077251F"/>
    <w:rsid w:val="00773D11"/>
    <w:rsid w:val="0078648F"/>
    <w:rsid w:val="00791F86"/>
    <w:rsid w:val="00796D4B"/>
    <w:rsid w:val="007A5B6C"/>
    <w:rsid w:val="0080154C"/>
    <w:rsid w:val="00820F38"/>
    <w:rsid w:val="0083608B"/>
    <w:rsid w:val="008445C8"/>
    <w:rsid w:val="00850E57"/>
    <w:rsid w:val="00867A66"/>
    <w:rsid w:val="00893ECA"/>
    <w:rsid w:val="00895FB1"/>
    <w:rsid w:val="008C1149"/>
    <w:rsid w:val="008C20DE"/>
    <w:rsid w:val="008C5774"/>
    <w:rsid w:val="008C7CC4"/>
    <w:rsid w:val="008D3AEB"/>
    <w:rsid w:val="008D3DE5"/>
    <w:rsid w:val="00922B46"/>
    <w:rsid w:val="00922FC3"/>
    <w:rsid w:val="0092669A"/>
    <w:rsid w:val="0093739A"/>
    <w:rsid w:val="009411EC"/>
    <w:rsid w:val="00967CA8"/>
    <w:rsid w:val="009918DE"/>
    <w:rsid w:val="00997A8F"/>
    <w:rsid w:val="009B5E7E"/>
    <w:rsid w:val="009B7AEE"/>
    <w:rsid w:val="009C3595"/>
    <w:rsid w:val="009C7FE3"/>
    <w:rsid w:val="009D2B34"/>
    <w:rsid w:val="009E55D3"/>
    <w:rsid w:val="009E78CA"/>
    <w:rsid w:val="009F0E74"/>
    <w:rsid w:val="00A06531"/>
    <w:rsid w:val="00A2037B"/>
    <w:rsid w:val="00A40764"/>
    <w:rsid w:val="00A4240C"/>
    <w:rsid w:val="00A556A9"/>
    <w:rsid w:val="00A57925"/>
    <w:rsid w:val="00A62C43"/>
    <w:rsid w:val="00A636F3"/>
    <w:rsid w:val="00A82765"/>
    <w:rsid w:val="00A875F2"/>
    <w:rsid w:val="00A90E8B"/>
    <w:rsid w:val="00AB0E85"/>
    <w:rsid w:val="00AD54DA"/>
    <w:rsid w:val="00AE172E"/>
    <w:rsid w:val="00AE557D"/>
    <w:rsid w:val="00B0560A"/>
    <w:rsid w:val="00B2389D"/>
    <w:rsid w:val="00B425C8"/>
    <w:rsid w:val="00B64E1D"/>
    <w:rsid w:val="00B75045"/>
    <w:rsid w:val="00BE1CFA"/>
    <w:rsid w:val="00C40896"/>
    <w:rsid w:val="00C5644F"/>
    <w:rsid w:val="00C7113E"/>
    <w:rsid w:val="00C83639"/>
    <w:rsid w:val="00C97CAC"/>
    <w:rsid w:val="00CB078D"/>
    <w:rsid w:val="00CB1747"/>
    <w:rsid w:val="00CB2A7D"/>
    <w:rsid w:val="00CF026A"/>
    <w:rsid w:val="00D02B19"/>
    <w:rsid w:val="00D44BF8"/>
    <w:rsid w:val="00D542FD"/>
    <w:rsid w:val="00D63C80"/>
    <w:rsid w:val="00D70FF1"/>
    <w:rsid w:val="00D77718"/>
    <w:rsid w:val="00D82A84"/>
    <w:rsid w:val="00D85766"/>
    <w:rsid w:val="00DA21E4"/>
    <w:rsid w:val="00DB2AB5"/>
    <w:rsid w:val="00DD08E6"/>
    <w:rsid w:val="00DF4C6A"/>
    <w:rsid w:val="00E12C3E"/>
    <w:rsid w:val="00E31457"/>
    <w:rsid w:val="00E34745"/>
    <w:rsid w:val="00E47C60"/>
    <w:rsid w:val="00E5566C"/>
    <w:rsid w:val="00E645CA"/>
    <w:rsid w:val="00E75C1B"/>
    <w:rsid w:val="00E803FB"/>
    <w:rsid w:val="00E961AA"/>
    <w:rsid w:val="00E962E1"/>
    <w:rsid w:val="00E973A7"/>
    <w:rsid w:val="00E97CF4"/>
    <w:rsid w:val="00E97CF9"/>
    <w:rsid w:val="00EA7E91"/>
    <w:rsid w:val="00F04E4F"/>
    <w:rsid w:val="00F069EF"/>
    <w:rsid w:val="00F3177A"/>
    <w:rsid w:val="00F367F2"/>
    <w:rsid w:val="00F41E7E"/>
    <w:rsid w:val="00F62912"/>
    <w:rsid w:val="00F6569B"/>
    <w:rsid w:val="00F66859"/>
    <w:rsid w:val="00F7343F"/>
    <w:rsid w:val="00F74AA8"/>
    <w:rsid w:val="00F90E99"/>
    <w:rsid w:val="00FA22C1"/>
    <w:rsid w:val="00FB13B7"/>
    <w:rsid w:val="00FC6336"/>
    <w:rsid w:val="00FC6DBA"/>
    <w:rsid w:val="00FE2E3F"/>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21DFD"/>
  <w15:chartTrackingRefBased/>
  <w15:docId w15:val="{48B0263D-09E8-424D-B37F-B192C93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Court">
    <w:name w:val="Court"/>
    <w:basedOn w:val="Normal"/>
    <w:rsid w:val="000C50F1"/>
    <w:pPr>
      <w:widowControl w:val="0"/>
      <w:spacing w:after="240" w:line="480" w:lineRule="exact"/>
      <w:ind w:firstLine="0"/>
      <w:jc w:val="center"/>
    </w:pPr>
    <w:rPr>
      <w:rFonts w:ascii="Times New Roman" w:eastAsia="Times New Roman" w:hAnsi="Times New Roman" w:cs="Times New Roman"/>
      <w:caps/>
      <w:sz w:val="26"/>
      <w:szCs w:val="26"/>
      <w:lang w:eastAsia="en-US"/>
    </w:rPr>
  </w:style>
  <w:style w:type="paragraph" w:styleId="FootnoteText">
    <w:name w:val="footnote text"/>
    <w:basedOn w:val="Normal"/>
    <w:link w:val="FootnoteTextChar"/>
    <w:uiPriority w:val="99"/>
    <w:semiHidden/>
    <w:unhideWhenUsed/>
    <w:rsid w:val="00DD08E6"/>
    <w:pPr>
      <w:spacing w:line="240" w:lineRule="auto"/>
    </w:pPr>
  </w:style>
  <w:style w:type="character" w:customStyle="1" w:styleId="FootnoteTextChar">
    <w:name w:val="Footnote Text Char"/>
    <w:basedOn w:val="DefaultParagraphFont"/>
    <w:link w:val="FootnoteText"/>
    <w:uiPriority w:val="99"/>
    <w:semiHidden/>
    <w:rsid w:val="00DD08E6"/>
  </w:style>
  <w:style w:type="character" w:styleId="FootnoteReference">
    <w:name w:val="footnote reference"/>
    <w:basedOn w:val="DefaultParagraphFont"/>
    <w:uiPriority w:val="99"/>
    <w:semiHidden/>
    <w:unhideWhenUsed/>
    <w:rsid w:val="00DD0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673">
      <w:bodyDiv w:val="1"/>
      <w:marLeft w:val="0"/>
      <w:marRight w:val="0"/>
      <w:marTop w:val="0"/>
      <w:marBottom w:val="0"/>
      <w:divBdr>
        <w:top w:val="none" w:sz="0" w:space="0" w:color="auto"/>
        <w:left w:val="none" w:sz="0" w:space="0" w:color="auto"/>
        <w:bottom w:val="none" w:sz="0" w:space="0" w:color="auto"/>
        <w:right w:val="none" w:sz="0" w:space="0" w:color="auto"/>
      </w:divBdr>
    </w:div>
    <w:div w:id="707418861">
      <w:bodyDiv w:val="1"/>
      <w:marLeft w:val="0"/>
      <w:marRight w:val="0"/>
      <w:marTop w:val="0"/>
      <w:marBottom w:val="0"/>
      <w:divBdr>
        <w:top w:val="none" w:sz="0" w:space="0" w:color="auto"/>
        <w:left w:val="none" w:sz="0" w:space="0" w:color="auto"/>
        <w:bottom w:val="none" w:sz="0" w:space="0" w:color="auto"/>
        <w:right w:val="none" w:sz="0" w:space="0" w:color="auto"/>
      </w:divBdr>
    </w:div>
    <w:div w:id="1030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quin\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515F0243546BAB34AE127EF60EFB3"/>
        <w:category>
          <w:name w:val="General"/>
          <w:gallery w:val="placeholder"/>
        </w:category>
        <w:types>
          <w:type w:val="bbPlcHdr"/>
        </w:types>
        <w:behaviors>
          <w:behavior w:val="content"/>
        </w:behaviors>
        <w:guid w:val="{A0614942-FF04-4405-BEA4-1DAE4AB3632D}"/>
      </w:docPartPr>
      <w:docPartBody>
        <w:p w:rsidR="00FD79A4" w:rsidRDefault="00000000">
          <w:pPr>
            <w:pStyle w:val="503515F0243546BAB34AE127EF60EFB3"/>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4"/>
    <w:rsid w:val="00E542A2"/>
    <w:rsid w:val="00FD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A736B12C14AC3A5EBD9393743C1F2">
    <w:name w:val="C03A736B12C14AC3A5EBD9393743C1F2"/>
  </w:style>
  <w:style w:type="paragraph" w:customStyle="1" w:styleId="CourtName">
    <w:name w:val="Court Name"/>
    <w:basedOn w:val="Normal"/>
    <w:link w:val="CourtNameChar"/>
    <w:uiPriority w:val="1"/>
    <w:qFormat/>
    <w:pPr>
      <w:spacing w:before="240" w:after="0" w:line="480" w:lineRule="auto"/>
      <w:contextualSpacing/>
      <w:jc w:val="center"/>
    </w:pPr>
    <w:rPr>
      <w:caps/>
      <w:sz w:val="20"/>
      <w:szCs w:val="20"/>
      <w:lang w:eastAsia="ja-JP"/>
    </w:rPr>
  </w:style>
  <w:style w:type="character" w:customStyle="1" w:styleId="CourtNameChar">
    <w:name w:val="Court Name Char"/>
    <w:basedOn w:val="DefaultParagraphFont"/>
    <w:link w:val="CourtName"/>
    <w:uiPriority w:val="1"/>
    <w:rPr>
      <w:caps/>
      <w:sz w:val="20"/>
      <w:szCs w:val="20"/>
      <w:lang w:eastAsia="ja-JP"/>
    </w:rPr>
  </w:style>
  <w:style w:type="paragraph" w:customStyle="1" w:styleId="EBB887938B83439C9F11FDA0464273A8">
    <w:name w:val="EBB887938B83439C9F11FDA0464273A8"/>
  </w:style>
  <w:style w:type="paragraph" w:customStyle="1" w:styleId="A93942A5AD4C47708050C74A118D5012">
    <w:name w:val="A93942A5AD4C47708050C74A118D5012"/>
  </w:style>
  <w:style w:type="paragraph" w:customStyle="1" w:styleId="EB62E725E971482E968BD19D2A60A93B">
    <w:name w:val="EB62E725E971482E968BD19D2A60A93B"/>
  </w:style>
  <w:style w:type="paragraph" w:customStyle="1" w:styleId="78D07741898240089508903CB358089D">
    <w:name w:val="78D07741898240089508903CB358089D"/>
  </w:style>
  <w:style w:type="paragraph" w:customStyle="1" w:styleId="F23449997EF345A6A37C841A8507663C">
    <w:name w:val="F23449997EF345A6A37C841A8507663C"/>
  </w:style>
  <w:style w:type="paragraph" w:customStyle="1" w:styleId="B0B143B66F764AFDB6CF18080679C962">
    <w:name w:val="B0B143B66F764AFDB6CF18080679C962"/>
  </w:style>
  <w:style w:type="paragraph" w:customStyle="1" w:styleId="764F3C7C9C254CC4827807FEE124B7D0">
    <w:name w:val="764F3C7C9C254CC4827807FEE124B7D0"/>
  </w:style>
  <w:style w:type="paragraph" w:customStyle="1" w:styleId="274E0C67AFDA40E7A9D03BD6BE573CA2">
    <w:name w:val="274E0C67AFDA40E7A9D03BD6BE573CA2"/>
  </w:style>
  <w:style w:type="paragraph" w:customStyle="1" w:styleId="503515F0243546BAB34AE127EF60EFB3">
    <w:name w:val="503515F0243546BAB34AE127EF60EFB3"/>
  </w:style>
  <w:style w:type="paragraph" w:customStyle="1" w:styleId="2289E89B9E6046C198BAF2F3E386265C">
    <w:name w:val="2289E89B9E6046C198BAF2F3E386265C"/>
  </w:style>
  <w:style w:type="paragraph" w:customStyle="1" w:styleId="D20907405F7B40268FADB0AACAC8CBA9">
    <w:name w:val="D20907405F7B40268FADB0AACAC8CBA9"/>
  </w:style>
  <w:style w:type="paragraph" w:customStyle="1" w:styleId="DB2FBCBF40B0432BAD4571930B75D432">
    <w:name w:val="DB2FBCBF40B0432BAD4571930B75D432"/>
  </w:style>
  <w:style w:type="paragraph" w:customStyle="1" w:styleId="806C941B009D449D8B6113C006004438">
    <w:name w:val="806C941B009D449D8B6113C006004438"/>
  </w:style>
  <w:style w:type="paragraph" w:customStyle="1" w:styleId="004D9A522BA74ED1AE18C6812B75B687">
    <w:name w:val="004D9A522BA74ED1AE18C6812B75B687"/>
  </w:style>
  <w:style w:type="paragraph" w:customStyle="1" w:styleId="4BAED3A4D4F94E1DBE5F2D4064B67742">
    <w:name w:val="4BAED3A4D4F94E1DBE5F2D4064B67742"/>
  </w:style>
  <w:style w:type="paragraph" w:customStyle="1" w:styleId="5F538BFDC4AF44E0AF0104D3968AA0D8">
    <w:name w:val="5F538BFDC4AF44E0AF0104D3968AA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96B883108A948B27E6D9F0BCB0C04" ma:contentTypeVersion="10" ma:contentTypeDescription="Create a new document." ma:contentTypeScope="" ma:versionID="9cd2179c4adabd672be3f1083f198ece">
  <xsd:schema xmlns:xsd="http://www.w3.org/2001/XMLSchema" xmlns:xs="http://www.w3.org/2001/XMLSchema" xmlns:p="http://schemas.microsoft.com/office/2006/metadata/properties" xmlns:ns3="d9224c93-3a5a-4172-adfa-eb34769c09de" targetNamespace="http://schemas.microsoft.com/office/2006/metadata/properties" ma:root="true" ma:fieldsID="4ff953b2f0c21438ea306fb24dd51814" ns3:_="">
    <xsd:import namespace="d9224c93-3a5a-4172-adfa-eb34769c09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4c93-3a5a-4172-adfa-eb34769c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BD30-5CCE-4F85-9F87-0D88972BDAD3}">
  <ds:schemaRefs>
    <ds:schemaRef ds:uri="http://schemas.microsoft.com/sharepoint/v3/contenttype/forms"/>
  </ds:schemaRefs>
</ds:datastoreItem>
</file>

<file path=customXml/itemProps2.xml><?xml version="1.0" encoding="utf-8"?>
<ds:datastoreItem xmlns:ds="http://schemas.openxmlformats.org/officeDocument/2006/customXml" ds:itemID="{145D1A91-5CA3-4E92-8367-95277F36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4c93-3a5a-4172-adfa-eb34769c0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C708-01FC-4595-935A-5ED03E8F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7A9B43-AE4F-44C3-B1F3-7D10ABA1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Template>
  <TotalTime>156</TotalTime>
  <Pages>6</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On Petition to Amend Rule 60</dc:title>
  <dc:creator>Denise Quinterri</dc:creator>
  <cp:lastModifiedBy>Denise Quinterri</cp:lastModifiedBy>
  <cp:revision>154</cp:revision>
  <dcterms:created xsi:type="dcterms:W3CDTF">2022-10-03T18:54:00Z</dcterms:created>
  <dcterms:modified xsi:type="dcterms:W3CDTF">2022-10-03T22:00:00Z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0x01010055E96B883108A948B27E6D9F0BCB0C04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