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549D" w14:textId="77777777" w:rsidR="00F21C51" w:rsidRPr="002B3716" w:rsidRDefault="00F21C51" w:rsidP="00094ABB">
      <w:pPr>
        <w:spacing w:line="160" w:lineRule="exact"/>
        <w:jc w:val="both"/>
        <w:rPr>
          <w:rFonts w:ascii="Century Schoolbook" w:hAnsi="Century Schoolbook"/>
          <w:sz w:val="26"/>
          <w:szCs w:val="26"/>
        </w:rPr>
      </w:pPr>
    </w:p>
    <w:p w14:paraId="4000D43E" w14:textId="77777777" w:rsidR="00452E75" w:rsidRPr="00AD6B9D" w:rsidRDefault="006A015E" w:rsidP="00E476D1">
      <w:pPr>
        <w:spacing w:line="240" w:lineRule="auto"/>
        <w:rPr>
          <w:rFonts w:ascii="Century Schoolbook" w:hAnsi="Century Schoolbook"/>
          <w:b/>
          <w:smallCaps/>
          <w:sz w:val="26"/>
          <w:szCs w:val="26"/>
        </w:rPr>
      </w:pPr>
      <w:bookmarkStart w:id="0" w:name="AttorneyName"/>
      <w:bookmarkEnd w:id="0"/>
      <w:r w:rsidRPr="00AD6B9D">
        <w:rPr>
          <w:rStyle w:val="Style3"/>
          <w:rFonts w:ascii="Century Schoolbook" w:hAnsi="Century Schoolbook"/>
          <w:b/>
          <w:i w:val="0"/>
          <w:smallCaps/>
          <w:sz w:val="26"/>
          <w:szCs w:val="26"/>
        </w:rPr>
        <w:t>Pima County Bar Association</w:t>
      </w:r>
    </w:p>
    <w:p w14:paraId="7ADB13C1" w14:textId="0A473E76" w:rsidR="00247B4D" w:rsidRDefault="006A015E" w:rsidP="00E476D1">
      <w:pPr>
        <w:spacing w:line="240" w:lineRule="auto"/>
        <w:rPr>
          <w:sz w:val="26"/>
          <w:szCs w:val="26"/>
        </w:rPr>
      </w:pPr>
      <w:r w:rsidRPr="002B3716">
        <w:rPr>
          <w:sz w:val="26"/>
          <w:szCs w:val="26"/>
        </w:rPr>
        <w:t>177 North Church Avenue</w:t>
      </w:r>
    </w:p>
    <w:p w14:paraId="6A33F18F" w14:textId="2FB99776" w:rsidR="004C23D6" w:rsidRPr="002B3716" w:rsidRDefault="004C23D6" w:rsidP="00E476D1">
      <w:pPr>
        <w:spacing w:line="240" w:lineRule="auto"/>
        <w:rPr>
          <w:sz w:val="26"/>
          <w:szCs w:val="26"/>
        </w:rPr>
      </w:pPr>
      <w:r>
        <w:rPr>
          <w:sz w:val="26"/>
          <w:szCs w:val="26"/>
        </w:rPr>
        <w:t>Suite No. 101</w:t>
      </w:r>
    </w:p>
    <w:p w14:paraId="4191CD06" w14:textId="34E4C20F" w:rsidR="00247B4D" w:rsidRPr="002B3716" w:rsidRDefault="00247B4D" w:rsidP="00E476D1">
      <w:pPr>
        <w:spacing w:line="240" w:lineRule="auto"/>
        <w:rPr>
          <w:sz w:val="26"/>
          <w:szCs w:val="26"/>
        </w:rPr>
      </w:pPr>
      <w:r w:rsidRPr="002B3716">
        <w:rPr>
          <w:sz w:val="26"/>
          <w:szCs w:val="26"/>
        </w:rPr>
        <w:t>Tucson, A</w:t>
      </w:r>
      <w:r w:rsidR="00FD2A80" w:rsidRPr="002B3716">
        <w:rPr>
          <w:sz w:val="26"/>
          <w:szCs w:val="26"/>
        </w:rPr>
        <w:t>rizona</w:t>
      </w:r>
      <w:r w:rsidRPr="002B3716">
        <w:rPr>
          <w:sz w:val="26"/>
          <w:szCs w:val="26"/>
        </w:rPr>
        <w:t xml:space="preserve"> 85701</w:t>
      </w:r>
    </w:p>
    <w:p w14:paraId="1173270A" w14:textId="38DCBE03" w:rsidR="00A924BD" w:rsidRDefault="004C23D6" w:rsidP="00A924BD">
      <w:pPr>
        <w:spacing w:line="240" w:lineRule="auto"/>
        <w:rPr>
          <w:sz w:val="26"/>
          <w:szCs w:val="26"/>
        </w:rPr>
      </w:pPr>
      <w:r>
        <w:rPr>
          <w:sz w:val="26"/>
          <w:szCs w:val="26"/>
        </w:rPr>
        <w:t xml:space="preserve">(520) </w:t>
      </w:r>
      <w:r w:rsidR="006A015E" w:rsidRPr="002B3716">
        <w:rPr>
          <w:sz w:val="26"/>
          <w:szCs w:val="26"/>
        </w:rPr>
        <w:t>623-8258</w:t>
      </w:r>
      <w:r w:rsidR="00A924BD" w:rsidRPr="00A924BD">
        <w:rPr>
          <w:sz w:val="26"/>
          <w:szCs w:val="26"/>
        </w:rPr>
        <w:t xml:space="preserve"> </w:t>
      </w:r>
    </w:p>
    <w:p w14:paraId="258A1D49" w14:textId="077257BA" w:rsidR="00236264" w:rsidRDefault="009C5286" w:rsidP="00E476D1">
      <w:pPr>
        <w:spacing w:line="240" w:lineRule="auto"/>
        <w:rPr>
          <w:sz w:val="26"/>
          <w:szCs w:val="26"/>
        </w:rPr>
      </w:pPr>
      <w:r>
        <w:rPr>
          <w:sz w:val="26"/>
          <w:szCs w:val="26"/>
        </w:rPr>
        <w:t>James W. Rappaport, SBN 0</w:t>
      </w:r>
      <w:r w:rsidR="00A924BD">
        <w:rPr>
          <w:sz w:val="26"/>
          <w:szCs w:val="26"/>
        </w:rPr>
        <w:t>31699</w:t>
      </w:r>
    </w:p>
    <w:p w14:paraId="489C3DDB" w14:textId="19014782" w:rsidR="004C23D6" w:rsidRPr="002B3716" w:rsidRDefault="004C23D6" w:rsidP="00E476D1">
      <w:pPr>
        <w:spacing w:line="240" w:lineRule="auto"/>
        <w:rPr>
          <w:sz w:val="26"/>
          <w:szCs w:val="26"/>
        </w:rPr>
      </w:pPr>
      <w:r>
        <w:rPr>
          <w:sz w:val="26"/>
          <w:szCs w:val="26"/>
        </w:rPr>
        <w:t>jwrappaport@gmail.com</w:t>
      </w:r>
    </w:p>
    <w:p w14:paraId="5C1CBD0A" w14:textId="77777777" w:rsidR="00AD6B9D" w:rsidRPr="00AD6B9D" w:rsidRDefault="00AD6B9D" w:rsidP="00E476D1">
      <w:pPr>
        <w:spacing w:line="240" w:lineRule="auto"/>
        <w:rPr>
          <w:i/>
          <w:sz w:val="26"/>
          <w:szCs w:val="26"/>
        </w:rPr>
      </w:pPr>
      <w:r>
        <w:rPr>
          <w:rStyle w:val="Style1"/>
          <w:i/>
          <w:szCs w:val="26"/>
        </w:rPr>
        <w:t>Rules Committee Chair</w:t>
      </w:r>
    </w:p>
    <w:p w14:paraId="558D1008" w14:textId="77777777" w:rsidR="005E1399" w:rsidRPr="00022A34" w:rsidRDefault="005E1399" w:rsidP="00094ABB">
      <w:pPr>
        <w:spacing w:after="320" w:line="540" w:lineRule="exact"/>
        <w:rPr>
          <w:sz w:val="26"/>
          <w:szCs w:val="26"/>
        </w:rPr>
      </w:pPr>
    </w:p>
    <w:p w14:paraId="1FACF639" w14:textId="77777777" w:rsidR="005E1399" w:rsidRPr="009C465B" w:rsidRDefault="006A015E" w:rsidP="00094ABB">
      <w:pPr>
        <w:jc w:val="center"/>
        <w:rPr>
          <w:b/>
          <w:sz w:val="26"/>
          <w:szCs w:val="26"/>
        </w:rPr>
      </w:pPr>
      <w:r>
        <w:rPr>
          <w:b/>
          <w:sz w:val="26"/>
          <w:szCs w:val="26"/>
        </w:rPr>
        <w:t>IN THE SUPREME COURT</w:t>
      </w:r>
    </w:p>
    <w:p w14:paraId="496EB116" w14:textId="77777777" w:rsidR="00272BD5" w:rsidRDefault="006A015E" w:rsidP="008A3442">
      <w:pPr>
        <w:jc w:val="center"/>
        <w:rPr>
          <w:b/>
          <w:sz w:val="26"/>
          <w:szCs w:val="26"/>
        </w:rPr>
      </w:pPr>
      <w:r>
        <w:rPr>
          <w:b/>
          <w:sz w:val="26"/>
          <w:szCs w:val="26"/>
        </w:rPr>
        <w:t>STATE OF ARIZONA</w:t>
      </w:r>
    </w:p>
    <w:p w14:paraId="368C84AA" w14:textId="77777777" w:rsidR="005E1399" w:rsidRPr="009C465B" w:rsidRDefault="005E1399" w:rsidP="00E476D1">
      <w:pPr>
        <w:spacing w:line="660" w:lineRule="exact"/>
        <w:jc w:val="center"/>
        <w:rPr>
          <w:b/>
          <w:sz w:val="26"/>
          <w:szCs w:val="26"/>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0"/>
        <w:gridCol w:w="4842"/>
      </w:tblGrid>
      <w:tr w:rsidR="00F85E94" w:rsidRPr="009C465B" w14:paraId="7AF817A6" w14:textId="77777777" w:rsidTr="001F3038">
        <w:trPr>
          <w:trHeight w:val="2504"/>
        </w:trPr>
        <w:tc>
          <w:tcPr>
            <w:tcW w:w="4770" w:type="dxa"/>
            <w:shd w:val="clear" w:color="auto" w:fill="auto"/>
          </w:tcPr>
          <w:p w14:paraId="47CA4845" w14:textId="77777777" w:rsidR="00B73BA9" w:rsidRDefault="006A015E" w:rsidP="009D6CAB">
            <w:pPr>
              <w:spacing w:line="240" w:lineRule="auto"/>
              <w:ind w:right="86"/>
              <w:jc w:val="both"/>
              <w:rPr>
                <w:sz w:val="26"/>
                <w:szCs w:val="26"/>
              </w:rPr>
            </w:pPr>
            <w:bookmarkStart w:id="1" w:name="Parties"/>
            <w:bookmarkEnd w:id="1"/>
            <w:r>
              <w:rPr>
                <w:sz w:val="26"/>
                <w:szCs w:val="26"/>
              </w:rPr>
              <w:t>In the matter of:</w:t>
            </w:r>
          </w:p>
          <w:p w14:paraId="36436917" w14:textId="77777777" w:rsidR="006A015E" w:rsidRDefault="006A015E" w:rsidP="009D6CAB">
            <w:pPr>
              <w:spacing w:line="240" w:lineRule="auto"/>
              <w:ind w:right="86"/>
              <w:jc w:val="both"/>
              <w:rPr>
                <w:sz w:val="26"/>
                <w:szCs w:val="26"/>
              </w:rPr>
            </w:pPr>
          </w:p>
          <w:p w14:paraId="53237205" w14:textId="6C4E163C" w:rsidR="006A015E" w:rsidRPr="007163F3" w:rsidRDefault="001F3038" w:rsidP="001F3038">
            <w:pPr>
              <w:spacing w:line="240" w:lineRule="auto"/>
              <w:ind w:right="86"/>
              <w:jc w:val="both"/>
              <w:rPr>
                <w:rFonts w:ascii="Times New Roman Bold" w:hAnsi="Times New Roman Bold"/>
                <w:bCs/>
                <w:caps/>
                <w:sz w:val="26"/>
                <w:szCs w:val="26"/>
              </w:rPr>
            </w:pPr>
            <w:r w:rsidRPr="007163F3">
              <w:rPr>
                <w:rFonts w:ascii="Times New Roman Bold" w:hAnsi="Times New Roman Bold"/>
                <w:bCs/>
                <w:caps/>
                <w:sz w:val="26"/>
                <w:szCs w:val="26"/>
              </w:rPr>
              <w:t xml:space="preserve">Petition to Amend </w:t>
            </w:r>
            <w:r w:rsidR="00CF241C">
              <w:rPr>
                <w:rFonts w:ascii="Times New Roman Bold" w:hAnsi="Times New Roman Bold"/>
                <w:bCs/>
                <w:caps/>
                <w:sz w:val="26"/>
                <w:szCs w:val="26"/>
              </w:rPr>
              <w:t>Rule 60 of the Arizona Rules of Supreme Court</w:t>
            </w:r>
          </w:p>
        </w:tc>
        <w:tc>
          <w:tcPr>
            <w:tcW w:w="4842" w:type="dxa"/>
            <w:tcBorders>
              <w:top w:val="nil"/>
              <w:bottom w:val="nil"/>
            </w:tcBorders>
            <w:shd w:val="clear" w:color="auto" w:fill="auto"/>
          </w:tcPr>
          <w:p w14:paraId="11D9FB6B" w14:textId="447A9FD1" w:rsidR="00515C65" w:rsidRPr="008A3442" w:rsidRDefault="00B30BF9" w:rsidP="009D6CAB">
            <w:pPr>
              <w:pStyle w:val="SingleSpacing"/>
              <w:spacing w:line="240" w:lineRule="auto"/>
              <w:ind w:left="180"/>
              <w:rPr>
                <w:sz w:val="26"/>
                <w:szCs w:val="26"/>
              </w:rPr>
            </w:pPr>
            <w:bookmarkStart w:id="2" w:name="CaseNumber"/>
            <w:bookmarkEnd w:id="2"/>
            <w:r>
              <w:rPr>
                <w:sz w:val="26"/>
                <w:szCs w:val="26"/>
              </w:rPr>
              <w:t>Supreme Court No.</w:t>
            </w:r>
            <w:r w:rsidR="004C23D6">
              <w:rPr>
                <w:sz w:val="26"/>
                <w:szCs w:val="26"/>
              </w:rPr>
              <w:t xml:space="preserve"> R-22-0036</w:t>
            </w:r>
          </w:p>
          <w:p w14:paraId="728EE3ED" w14:textId="77777777" w:rsidR="00515C65" w:rsidRDefault="00515C65" w:rsidP="009D6CAB">
            <w:pPr>
              <w:spacing w:line="240" w:lineRule="auto"/>
              <w:ind w:left="187"/>
              <w:rPr>
                <w:b/>
                <w:sz w:val="26"/>
                <w:szCs w:val="26"/>
              </w:rPr>
            </w:pPr>
          </w:p>
          <w:p w14:paraId="6ECAF3CE" w14:textId="0DE665E5" w:rsidR="008A3442" w:rsidRPr="009C465B" w:rsidRDefault="006A015E" w:rsidP="009D6CAB">
            <w:pPr>
              <w:spacing w:line="240" w:lineRule="auto"/>
              <w:ind w:left="187"/>
              <w:rPr>
                <w:sz w:val="26"/>
                <w:szCs w:val="26"/>
              </w:rPr>
            </w:pPr>
            <w:r>
              <w:rPr>
                <w:b/>
                <w:sz w:val="26"/>
                <w:szCs w:val="26"/>
              </w:rPr>
              <w:t xml:space="preserve">COMMENT OF THE PIMA COUNTY BAR ASSOCIATION </w:t>
            </w:r>
            <w:r w:rsidR="00CF241C">
              <w:rPr>
                <w:b/>
                <w:sz w:val="26"/>
                <w:szCs w:val="26"/>
              </w:rPr>
              <w:t>OPPOSING THE PETITION</w:t>
            </w:r>
          </w:p>
        </w:tc>
      </w:tr>
    </w:tbl>
    <w:p w14:paraId="6D0CB883" w14:textId="18FCE925" w:rsidR="001F3038" w:rsidRDefault="00F45C99" w:rsidP="002C396B">
      <w:pPr>
        <w:tabs>
          <w:tab w:val="left" w:pos="0"/>
        </w:tabs>
        <w:rPr>
          <w:sz w:val="26"/>
          <w:szCs w:val="26"/>
        </w:rPr>
      </w:pPr>
      <w:r>
        <w:rPr>
          <w:sz w:val="26"/>
          <w:szCs w:val="26"/>
        </w:rPr>
        <w:tab/>
      </w:r>
      <w:r w:rsidR="001F3038">
        <w:rPr>
          <w:sz w:val="26"/>
          <w:szCs w:val="26"/>
        </w:rPr>
        <w:t>Pursuant to Rule 28, Ariz. R. Sup. Ct.</w:t>
      </w:r>
      <w:r w:rsidR="007163F3">
        <w:rPr>
          <w:sz w:val="26"/>
          <w:szCs w:val="26"/>
        </w:rPr>
        <w:t xml:space="preserve">, the Pima County Bar Association respectfully submits the following comment </w:t>
      </w:r>
      <w:r w:rsidR="00586AEC">
        <w:rPr>
          <w:sz w:val="26"/>
          <w:szCs w:val="26"/>
        </w:rPr>
        <w:t>in opposition to</w:t>
      </w:r>
      <w:r w:rsidR="007163F3">
        <w:rPr>
          <w:sz w:val="26"/>
          <w:szCs w:val="26"/>
        </w:rPr>
        <w:t xml:space="preserve"> Petition R-2</w:t>
      </w:r>
      <w:r w:rsidR="004C23D6">
        <w:rPr>
          <w:sz w:val="26"/>
          <w:szCs w:val="26"/>
        </w:rPr>
        <w:t xml:space="preserve">2-0036 </w:t>
      </w:r>
      <w:r w:rsidR="007163F3">
        <w:rPr>
          <w:sz w:val="26"/>
          <w:szCs w:val="26"/>
        </w:rPr>
        <w:t xml:space="preserve">filed by </w:t>
      </w:r>
      <w:r w:rsidR="004C23D6">
        <w:rPr>
          <w:sz w:val="26"/>
          <w:szCs w:val="26"/>
        </w:rPr>
        <w:t>the State Bar of Arizona (“</w:t>
      </w:r>
      <w:r w:rsidR="00C86381">
        <w:rPr>
          <w:sz w:val="26"/>
          <w:szCs w:val="26"/>
        </w:rPr>
        <w:t>State Bar</w:t>
      </w:r>
      <w:r w:rsidR="004C23D6">
        <w:rPr>
          <w:sz w:val="26"/>
          <w:szCs w:val="26"/>
        </w:rPr>
        <w:t xml:space="preserve">”).  </w:t>
      </w:r>
      <w:r w:rsidR="00C86381">
        <w:rPr>
          <w:sz w:val="26"/>
          <w:szCs w:val="26"/>
        </w:rPr>
        <w:t>The State Bar doesn’t just bury the lede, it omits it entirely from the body of its Petition.  To be clear, the proposed rule change would allow the State Bar to recover</w:t>
      </w:r>
      <w:r w:rsidR="00DC675F">
        <w:rPr>
          <w:sz w:val="26"/>
          <w:szCs w:val="26"/>
        </w:rPr>
        <w:t xml:space="preserve"> attorneys’ fees from lawyers whom it disciplines.  If adopted, it would allow the State Bar to heap yet another punishment onto its members and thereby tilt the balance of power </w:t>
      </w:r>
      <w:r w:rsidR="00850C39">
        <w:rPr>
          <w:sz w:val="26"/>
          <w:szCs w:val="26"/>
        </w:rPr>
        <w:t xml:space="preserve">even more </w:t>
      </w:r>
      <w:r w:rsidR="00DC675F">
        <w:rPr>
          <w:sz w:val="26"/>
          <w:szCs w:val="26"/>
        </w:rPr>
        <w:t>in its favor</w:t>
      </w:r>
      <w:r w:rsidR="008D6095">
        <w:rPr>
          <w:sz w:val="26"/>
          <w:szCs w:val="26"/>
        </w:rPr>
        <w:t xml:space="preserve">, </w:t>
      </w:r>
      <w:r w:rsidR="00DC675F">
        <w:rPr>
          <w:sz w:val="26"/>
          <w:szCs w:val="26"/>
        </w:rPr>
        <w:t xml:space="preserve">and at our collective expense.  </w:t>
      </w:r>
      <w:r w:rsidR="00BB3261">
        <w:rPr>
          <w:sz w:val="26"/>
          <w:szCs w:val="26"/>
        </w:rPr>
        <w:t>This Petition should be rejected.</w:t>
      </w:r>
    </w:p>
    <w:p w14:paraId="47B5764C" w14:textId="326BBFA0" w:rsidR="00DC675F" w:rsidRDefault="00760674" w:rsidP="002C396B">
      <w:pPr>
        <w:tabs>
          <w:tab w:val="left" w:pos="0"/>
        </w:tabs>
        <w:rPr>
          <w:sz w:val="26"/>
          <w:szCs w:val="26"/>
        </w:rPr>
      </w:pPr>
      <w:r>
        <w:rPr>
          <w:sz w:val="26"/>
          <w:szCs w:val="26"/>
        </w:rPr>
        <w:t>///</w:t>
      </w:r>
    </w:p>
    <w:p w14:paraId="7E484AFB" w14:textId="062E981B" w:rsidR="00DC675F" w:rsidRDefault="00760674" w:rsidP="002C396B">
      <w:pPr>
        <w:tabs>
          <w:tab w:val="left" w:pos="0"/>
        </w:tabs>
        <w:rPr>
          <w:sz w:val="26"/>
          <w:szCs w:val="26"/>
        </w:rPr>
      </w:pPr>
      <w:r>
        <w:rPr>
          <w:sz w:val="26"/>
          <w:szCs w:val="26"/>
        </w:rPr>
        <w:t>///</w:t>
      </w:r>
    </w:p>
    <w:p w14:paraId="3AFA2D18" w14:textId="13BD01EC" w:rsidR="00DC675F" w:rsidRPr="00DC675F" w:rsidRDefault="00DC675F" w:rsidP="002C396B">
      <w:pPr>
        <w:pStyle w:val="ListParagraph"/>
        <w:numPr>
          <w:ilvl w:val="0"/>
          <w:numId w:val="28"/>
        </w:numPr>
        <w:tabs>
          <w:tab w:val="left" w:pos="0"/>
        </w:tabs>
        <w:rPr>
          <w:sz w:val="26"/>
          <w:szCs w:val="26"/>
        </w:rPr>
      </w:pPr>
      <w:r>
        <w:rPr>
          <w:b/>
          <w:bCs/>
          <w:sz w:val="26"/>
          <w:szCs w:val="26"/>
        </w:rPr>
        <w:lastRenderedPageBreak/>
        <w:t>Existing sanctions are more than adequate to deter and punish violators.</w:t>
      </w:r>
    </w:p>
    <w:p w14:paraId="1F7CF258" w14:textId="501DE6DA" w:rsidR="006A48AB" w:rsidRDefault="00DC675F" w:rsidP="002C396B">
      <w:pPr>
        <w:pStyle w:val="ListParagraph"/>
        <w:tabs>
          <w:tab w:val="left" w:pos="0"/>
        </w:tabs>
        <w:ind w:left="0"/>
        <w:contextualSpacing w:val="0"/>
        <w:rPr>
          <w:sz w:val="26"/>
          <w:szCs w:val="26"/>
        </w:rPr>
      </w:pPr>
      <w:r>
        <w:rPr>
          <w:sz w:val="26"/>
          <w:szCs w:val="26"/>
        </w:rPr>
        <w:tab/>
        <w:t>As they stand, existing sanctions</w:t>
      </w:r>
      <w:r w:rsidR="00FB01A0">
        <w:rPr>
          <w:sz w:val="26"/>
          <w:szCs w:val="26"/>
        </w:rPr>
        <w:t xml:space="preserve"> for violating the Rules of Professional Conduct</w:t>
      </w:r>
      <w:r>
        <w:rPr>
          <w:sz w:val="26"/>
          <w:szCs w:val="26"/>
        </w:rPr>
        <w:t xml:space="preserve"> are stiff.  Separate and apart from the </w:t>
      </w:r>
      <w:r w:rsidR="00C337DA">
        <w:rPr>
          <w:sz w:val="26"/>
          <w:szCs w:val="26"/>
        </w:rPr>
        <w:t xml:space="preserve">powerful </w:t>
      </w:r>
      <w:r>
        <w:rPr>
          <w:sz w:val="26"/>
          <w:szCs w:val="26"/>
        </w:rPr>
        <w:t xml:space="preserve">stigma of </w:t>
      </w:r>
      <w:r w:rsidR="00C337DA">
        <w:rPr>
          <w:sz w:val="26"/>
          <w:szCs w:val="26"/>
        </w:rPr>
        <w:t>even being summoned to a disciplinary hearing, respondent attorneys are responsible for “</w:t>
      </w:r>
      <w:r w:rsidR="006A48AB">
        <w:rPr>
          <w:sz w:val="26"/>
          <w:szCs w:val="26"/>
        </w:rPr>
        <w:t xml:space="preserve">general </w:t>
      </w:r>
      <w:r w:rsidR="00C337DA">
        <w:rPr>
          <w:sz w:val="26"/>
          <w:szCs w:val="26"/>
        </w:rPr>
        <w:t xml:space="preserve">administrative expenses.”  </w:t>
      </w:r>
      <w:r w:rsidR="00CF241C">
        <w:rPr>
          <w:sz w:val="26"/>
          <w:szCs w:val="26"/>
        </w:rPr>
        <w:t xml:space="preserve">Despite </w:t>
      </w:r>
      <w:r w:rsidR="006A48AB">
        <w:rPr>
          <w:sz w:val="26"/>
          <w:szCs w:val="26"/>
        </w:rPr>
        <w:t>this</w:t>
      </w:r>
      <w:r w:rsidR="00C337DA">
        <w:rPr>
          <w:sz w:val="26"/>
          <w:szCs w:val="26"/>
        </w:rPr>
        <w:t xml:space="preserve"> anodyne </w:t>
      </w:r>
      <w:r w:rsidR="00CF241C">
        <w:rPr>
          <w:sz w:val="26"/>
          <w:szCs w:val="26"/>
        </w:rPr>
        <w:t>bureaucratese</w:t>
      </w:r>
      <w:r w:rsidR="00C337DA">
        <w:rPr>
          <w:sz w:val="26"/>
          <w:szCs w:val="26"/>
        </w:rPr>
        <w:t>, these expenses are hardly nominal</w:t>
      </w:r>
      <w:r w:rsidR="006A48AB">
        <w:rPr>
          <w:sz w:val="26"/>
          <w:szCs w:val="26"/>
        </w:rPr>
        <w:t xml:space="preserve"> for the </w:t>
      </w:r>
      <w:r w:rsidR="00FB01A0">
        <w:rPr>
          <w:sz w:val="26"/>
          <w:szCs w:val="26"/>
        </w:rPr>
        <w:t>respondent</w:t>
      </w:r>
      <w:r w:rsidR="00C337DA">
        <w:rPr>
          <w:sz w:val="26"/>
          <w:szCs w:val="26"/>
        </w:rPr>
        <w:t xml:space="preserve">.  Indeed, many exceed the maximum fine for the most serious of misdemeanor offenses.  Our Supreme Court has mandated the following </w:t>
      </w:r>
      <w:r w:rsidR="006A48AB">
        <w:rPr>
          <w:sz w:val="26"/>
          <w:szCs w:val="26"/>
        </w:rPr>
        <w:t>expense schedule, in relevant part:</w:t>
      </w:r>
    </w:p>
    <w:p w14:paraId="40FA7BB0" w14:textId="77777777" w:rsidR="006A48AB" w:rsidRDefault="006A48AB" w:rsidP="002C396B">
      <w:pPr>
        <w:pStyle w:val="ListParagraph"/>
        <w:tabs>
          <w:tab w:val="left" w:pos="0"/>
        </w:tabs>
        <w:ind w:left="0"/>
        <w:contextualSpacing w:val="0"/>
        <w:rPr>
          <w:sz w:val="26"/>
          <w:szCs w:val="26"/>
        </w:rPr>
      </w:pPr>
    </w:p>
    <w:p w14:paraId="72EB2E2A" w14:textId="69C291FA" w:rsidR="006A48AB" w:rsidRDefault="006A48AB" w:rsidP="002C396B">
      <w:pPr>
        <w:pStyle w:val="ListParagraph"/>
        <w:numPr>
          <w:ilvl w:val="1"/>
          <w:numId w:val="30"/>
        </w:numPr>
        <w:tabs>
          <w:tab w:val="left" w:pos="0"/>
        </w:tabs>
        <w:rPr>
          <w:sz w:val="26"/>
          <w:szCs w:val="26"/>
        </w:rPr>
      </w:pPr>
      <w:r>
        <w:rPr>
          <w:sz w:val="26"/>
          <w:szCs w:val="26"/>
        </w:rPr>
        <w:t xml:space="preserve">Matter settled with consent agreement </w:t>
      </w:r>
      <w:r>
        <w:rPr>
          <w:i/>
          <w:iCs/>
          <w:sz w:val="26"/>
          <w:szCs w:val="26"/>
        </w:rPr>
        <w:t>without a contested hearing</w:t>
      </w:r>
      <w:r>
        <w:rPr>
          <w:sz w:val="26"/>
          <w:szCs w:val="26"/>
        </w:rPr>
        <w:tab/>
        <w:t>$1,200.00</w:t>
      </w:r>
    </w:p>
    <w:p w14:paraId="1B5BBC1C" w14:textId="1503A954" w:rsidR="006A48AB" w:rsidRDefault="006A48AB" w:rsidP="002C396B">
      <w:pPr>
        <w:pStyle w:val="ListParagraph"/>
        <w:numPr>
          <w:ilvl w:val="1"/>
          <w:numId w:val="30"/>
        </w:numPr>
        <w:tabs>
          <w:tab w:val="left" w:pos="0"/>
        </w:tabs>
        <w:rPr>
          <w:sz w:val="26"/>
          <w:szCs w:val="26"/>
        </w:rPr>
      </w:pPr>
      <w:r>
        <w:rPr>
          <w:sz w:val="26"/>
          <w:szCs w:val="26"/>
        </w:rPr>
        <w:t>Summary suspension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$1,200.00</w:t>
      </w:r>
    </w:p>
    <w:p w14:paraId="13E62DC7" w14:textId="54B8F010" w:rsidR="006A48AB" w:rsidRDefault="006A48AB" w:rsidP="002C396B">
      <w:pPr>
        <w:pStyle w:val="ListParagraph"/>
        <w:numPr>
          <w:ilvl w:val="1"/>
          <w:numId w:val="30"/>
        </w:numPr>
        <w:tabs>
          <w:tab w:val="left" w:pos="0"/>
        </w:tabs>
        <w:rPr>
          <w:sz w:val="26"/>
          <w:szCs w:val="26"/>
        </w:rPr>
      </w:pPr>
      <w:r>
        <w:rPr>
          <w:sz w:val="26"/>
          <w:szCs w:val="26"/>
        </w:rPr>
        <w:t>Interim suspension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$1,200.00</w:t>
      </w:r>
    </w:p>
    <w:p w14:paraId="04938BD8" w14:textId="55DE7233" w:rsidR="006A48AB" w:rsidRDefault="006A48AB" w:rsidP="002C396B">
      <w:pPr>
        <w:pStyle w:val="ListParagraph"/>
        <w:numPr>
          <w:ilvl w:val="1"/>
          <w:numId w:val="30"/>
        </w:numPr>
        <w:tabs>
          <w:tab w:val="left" w:pos="0"/>
        </w:tabs>
        <w:rPr>
          <w:sz w:val="26"/>
          <w:szCs w:val="26"/>
        </w:rPr>
      </w:pPr>
      <w:r>
        <w:rPr>
          <w:sz w:val="26"/>
          <w:szCs w:val="26"/>
        </w:rPr>
        <w:t>Matter settled after default in answering a formal complaint</w:t>
      </w:r>
      <w:r>
        <w:rPr>
          <w:sz w:val="26"/>
          <w:szCs w:val="26"/>
        </w:rPr>
        <w:tab/>
      </w:r>
      <w:r>
        <w:rPr>
          <w:sz w:val="26"/>
          <w:szCs w:val="26"/>
        </w:rPr>
        <w:tab/>
        <w:t>$2,000.00</w:t>
      </w:r>
    </w:p>
    <w:p w14:paraId="04090A12" w14:textId="51CFE6F1" w:rsidR="006A48AB" w:rsidRDefault="006A48AB" w:rsidP="002C396B">
      <w:pPr>
        <w:pStyle w:val="ListParagraph"/>
        <w:numPr>
          <w:ilvl w:val="1"/>
          <w:numId w:val="30"/>
        </w:numPr>
        <w:tabs>
          <w:tab w:val="left" w:pos="0"/>
        </w:tabs>
        <w:rPr>
          <w:sz w:val="26"/>
          <w:szCs w:val="26"/>
        </w:rPr>
      </w:pPr>
      <w:r>
        <w:rPr>
          <w:sz w:val="26"/>
          <w:szCs w:val="26"/>
        </w:rPr>
        <w:t>Matter settled after contested hearing with no appeal</w:t>
      </w:r>
      <w:r>
        <w:rPr>
          <w:sz w:val="26"/>
          <w:szCs w:val="26"/>
        </w:rPr>
        <w:tab/>
      </w:r>
      <w:r>
        <w:rPr>
          <w:sz w:val="26"/>
          <w:szCs w:val="26"/>
        </w:rPr>
        <w:tab/>
      </w:r>
      <w:r>
        <w:rPr>
          <w:sz w:val="26"/>
          <w:szCs w:val="26"/>
        </w:rPr>
        <w:tab/>
        <w:t>$4,000.00</w:t>
      </w:r>
    </w:p>
    <w:p w14:paraId="230DB3D6" w14:textId="6467E82D" w:rsidR="006A48AB" w:rsidRDefault="006A48AB" w:rsidP="002C396B">
      <w:pPr>
        <w:pStyle w:val="ListParagraph"/>
        <w:numPr>
          <w:ilvl w:val="1"/>
          <w:numId w:val="30"/>
        </w:numPr>
        <w:tabs>
          <w:tab w:val="left" w:pos="0"/>
        </w:tabs>
        <w:contextualSpacing w:val="0"/>
        <w:rPr>
          <w:sz w:val="26"/>
          <w:szCs w:val="26"/>
        </w:rPr>
      </w:pPr>
      <w:r>
        <w:rPr>
          <w:sz w:val="26"/>
          <w:szCs w:val="26"/>
        </w:rPr>
        <w:t>Appeal to Arizona Supreme Court</w:t>
      </w:r>
      <w:r>
        <w:rPr>
          <w:sz w:val="26"/>
          <w:szCs w:val="26"/>
        </w:rPr>
        <w:tab/>
      </w:r>
      <w:r>
        <w:rPr>
          <w:sz w:val="26"/>
          <w:szCs w:val="26"/>
        </w:rPr>
        <w:tab/>
      </w:r>
      <w:r>
        <w:rPr>
          <w:sz w:val="26"/>
          <w:szCs w:val="26"/>
        </w:rPr>
        <w:tab/>
      </w:r>
      <w:r>
        <w:rPr>
          <w:sz w:val="26"/>
          <w:szCs w:val="26"/>
        </w:rPr>
        <w:tab/>
      </w:r>
      <w:r>
        <w:rPr>
          <w:sz w:val="26"/>
          <w:szCs w:val="26"/>
        </w:rPr>
        <w:tab/>
      </w:r>
      <w:r>
        <w:rPr>
          <w:sz w:val="26"/>
          <w:szCs w:val="26"/>
        </w:rPr>
        <w:tab/>
        <w:t>$6,000.00</w:t>
      </w:r>
    </w:p>
    <w:p w14:paraId="0142ED01" w14:textId="77777777" w:rsidR="006A48AB" w:rsidRDefault="006A48AB" w:rsidP="002C396B">
      <w:pPr>
        <w:pStyle w:val="ListParagraph"/>
        <w:tabs>
          <w:tab w:val="left" w:pos="0"/>
        </w:tabs>
        <w:ind w:left="630"/>
        <w:contextualSpacing w:val="0"/>
        <w:rPr>
          <w:sz w:val="26"/>
          <w:szCs w:val="26"/>
        </w:rPr>
      </w:pPr>
    </w:p>
    <w:p w14:paraId="27F88192" w14:textId="376E39D1" w:rsidR="00F625C1" w:rsidRDefault="006A48AB" w:rsidP="002C396B">
      <w:pPr>
        <w:tabs>
          <w:tab w:val="left" w:pos="0"/>
        </w:tabs>
        <w:rPr>
          <w:sz w:val="26"/>
          <w:szCs w:val="26"/>
        </w:rPr>
      </w:pPr>
      <w:r>
        <w:rPr>
          <w:sz w:val="26"/>
          <w:szCs w:val="26"/>
        </w:rPr>
        <w:t xml:space="preserve">Administrative Order No. 2011-17 (emphasis added).  It is noteworthy that, just to settle a matter </w:t>
      </w:r>
      <w:r w:rsidR="00CF241C">
        <w:rPr>
          <w:sz w:val="26"/>
          <w:szCs w:val="26"/>
        </w:rPr>
        <w:t xml:space="preserve">costs </w:t>
      </w:r>
      <w:r w:rsidR="002829DA">
        <w:rPr>
          <w:sz w:val="26"/>
          <w:szCs w:val="26"/>
        </w:rPr>
        <w:t>a</w:t>
      </w:r>
      <w:r w:rsidR="00CF241C">
        <w:rPr>
          <w:sz w:val="26"/>
          <w:szCs w:val="26"/>
        </w:rPr>
        <w:t xml:space="preserve"> respondent</w:t>
      </w:r>
      <w:r>
        <w:rPr>
          <w:sz w:val="26"/>
          <w:szCs w:val="26"/>
        </w:rPr>
        <w:t xml:space="preserve"> more than a thousand dollars.  </w:t>
      </w:r>
      <w:r w:rsidR="006E7045">
        <w:rPr>
          <w:sz w:val="26"/>
          <w:szCs w:val="26"/>
        </w:rPr>
        <w:t xml:space="preserve">The six-thousand-dollar price of Supreme Court review is equally noteworthy.  For respondent attorneys, this does not include the price of legal representation at each stage, which could easily run into five figures. </w:t>
      </w:r>
      <w:r w:rsidR="00F625C1">
        <w:rPr>
          <w:sz w:val="26"/>
          <w:szCs w:val="26"/>
        </w:rPr>
        <w:t xml:space="preserve"> </w:t>
      </w:r>
    </w:p>
    <w:p w14:paraId="7AB6ED47" w14:textId="47FBD159" w:rsidR="00A43050" w:rsidRDefault="00F625C1" w:rsidP="00A43050">
      <w:pPr>
        <w:tabs>
          <w:tab w:val="left" w:pos="0"/>
        </w:tabs>
        <w:spacing w:after="240"/>
        <w:rPr>
          <w:sz w:val="26"/>
          <w:szCs w:val="26"/>
        </w:rPr>
      </w:pPr>
      <w:r>
        <w:rPr>
          <w:sz w:val="26"/>
          <w:szCs w:val="26"/>
        </w:rPr>
        <w:tab/>
        <w:t>Compounded by the lasting embarrassment of a sanction, these existing penalties are more than enough to ensure compliance.  And for those who would violate anyway, it is vanishingly unlikely that the</w:t>
      </w:r>
      <w:r w:rsidR="00CF241C">
        <w:rPr>
          <w:sz w:val="26"/>
          <w:szCs w:val="26"/>
        </w:rPr>
        <w:t xml:space="preserve"> added</w:t>
      </w:r>
      <w:r>
        <w:rPr>
          <w:sz w:val="26"/>
          <w:szCs w:val="26"/>
        </w:rPr>
        <w:t xml:space="preserve"> threat of attorneys’ fees would alter their moral or financial calculus any more than an ethics CLE would </w:t>
      </w:r>
      <w:r w:rsidR="002C396B">
        <w:rPr>
          <w:sz w:val="26"/>
          <w:szCs w:val="26"/>
        </w:rPr>
        <w:t>deter Slippin’ Jimmy McGill</w:t>
      </w:r>
      <w:r>
        <w:rPr>
          <w:sz w:val="26"/>
          <w:szCs w:val="26"/>
        </w:rPr>
        <w:t xml:space="preserve">.  This rule change is not plausibly about deterrence.  At best, it is </w:t>
      </w:r>
      <w:r w:rsidR="002C396B">
        <w:rPr>
          <w:sz w:val="26"/>
          <w:szCs w:val="26"/>
        </w:rPr>
        <w:t xml:space="preserve">raw </w:t>
      </w:r>
      <w:r>
        <w:rPr>
          <w:sz w:val="26"/>
          <w:szCs w:val="26"/>
        </w:rPr>
        <w:t xml:space="preserve">retribution.  At </w:t>
      </w:r>
      <w:r>
        <w:rPr>
          <w:sz w:val="26"/>
          <w:szCs w:val="26"/>
        </w:rPr>
        <w:lastRenderedPageBreak/>
        <w:t xml:space="preserve">worst, it is yet another way for the State Bar to </w:t>
      </w:r>
      <w:r w:rsidR="005B1C2E">
        <w:rPr>
          <w:sz w:val="26"/>
          <w:szCs w:val="26"/>
        </w:rPr>
        <w:t>claw</w:t>
      </w:r>
      <w:r>
        <w:rPr>
          <w:sz w:val="26"/>
          <w:szCs w:val="26"/>
        </w:rPr>
        <w:t xml:space="preserve"> money from its members</w:t>
      </w:r>
      <w:r w:rsidR="002C396B">
        <w:rPr>
          <w:sz w:val="26"/>
          <w:szCs w:val="26"/>
        </w:rPr>
        <w:t xml:space="preserve"> who are already paying in excess of five hundred dollars every year</w:t>
      </w:r>
      <w:r w:rsidR="00A43050">
        <w:rPr>
          <w:sz w:val="26"/>
          <w:szCs w:val="26"/>
        </w:rPr>
        <w:t xml:space="preserve">, which </w:t>
      </w:r>
      <w:r w:rsidR="002C396B">
        <w:rPr>
          <w:sz w:val="26"/>
          <w:szCs w:val="26"/>
        </w:rPr>
        <w:t xml:space="preserve">raises the question, shouldn’t our dues </w:t>
      </w:r>
      <w:r w:rsidR="004F2A58">
        <w:rPr>
          <w:sz w:val="26"/>
          <w:szCs w:val="26"/>
        </w:rPr>
        <w:t xml:space="preserve">be sufficient to pay for the disciplinary process, </w:t>
      </w:r>
      <w:r w:rsidR="00950D65">
        <w:rPr>
          <w:sz w:val="26"/>
          <w:szCs w:val="26"/>
        </w:rPr>
        <w:t xml:space="preserve">Bar </w:t>
      </w:r>
      <w:r w:rsidR="004F2A58">
        <w:rPr>
          <w:sz w:val="26"/>
          <w:szCs w:val="26"/>
        </w:rPr>
        <w:t>counsel and all</w:t>
      </w:r>
      <w:r w:rsidR="002C396B">
        <w:rPr>
          <w:sz w:val="26"/>
          <w:szCs w:val="26"/>
        </w:rPr>
        <w:t>?</w:t>
      </w:r>
      <w:r w:rsidR="005B1C2E">
        <w:rPr>
          <w:sz w:val="26"/>
          <w:szCs w:val="26"/>
        </w:rPr>
        <w:t xml:space="preserve">  If they are, then this rule change is unnecessary</w:t>
      </w:r>
      <w:r w:rsidR="0097044D">
        <w:rPr>
          <w:sz w:val="26"/>
          <w:szCs w:val="26"/>
        </w:rPr>
        <w:t>, and it is solely about retribution</w:t>
      </w:r>
      <w:r w:rsidR="005B1C2E">
        <w:rPr>
          <w:sz w:val="26"/>
          <w:szCs w:val="26"/>
        </w:rPr>
        <w:t xml:space="preserve">.  If they are not, then it is incumbent on the State Bar to be better stewards of </w:t>
      </w:r>
      <w:r w:rsidR="00FB01A0">
        <w:rPr>
          <w:sz w:val="26"/>
          <w:szCs w:val="26"/>
        </w:rPr>
        <w:t>their—</w:t>
      </w:r>
      <w:r w:rsidR="00FB01A0">
        <w:rPr>
          <w:i/>
          <w:iCs/>
          <w:sz w:val="26"/>
          <w:szCs w:val="26"/>
        </w:rPr>
        <w:t>our</w:t>
      </w:r>
      <w:r w:rsidR="00FB01A0">
        <w:rPr>
          <w:sz w:val="26"/>
          <w:szCs w:val="26"/>
        </w:rPr>
        <w:t>—</w:t>
      </w:r>
      <w:r w:rsidR="005B1C2E">
        <w:rPr>
          <w:sz w:val="26"/>
          <w:szCs w:val="26"/>
        </w:rPr>
        <w:t>money.</w:t>
      </w:r>
      <w:r w:rsidR="00FB01A0">
        <w:rPr>
          <w:sz w:val="26"/>
          <w:szCs w:val="26"/>
        </w:rPr>
        <w:t xml:space="preserve">  </w:t>
      </w:r>
    </w:p>
    <w:p w14:paraId="7B478BE9" w14:textId="52631360" w:rsidR="00A43050" w:rsidRPr="00A43050" w:rsidRDefault="00A43050" w:rsidP="00A43050">
      <w:pPr>
        <w:pStyle w:val="ListParagraph"/>
        <w:numPr>
          <w:ilvl w:val="0"/>
          <w:numId w:val="28"/>
        </w:numPr>
        <w:tabs>
          <w:tab w:val="left" w:pos="0"/>
        </w:tabs>
        <w:spacing w:after="120" w:line="240" w:lineRule="auto"/>
        <w:contextualSpacing w:val="0"/>
        <w:rPr>
          <w:sz w:val="26"/>
          <w:szCs w:val="26"/>
        </w:rPr>
      </w:pPr>
      <w:r>
        <w:rPr>
          <w:b/>
          <w:bCs/>
          <w:sz w:val="26"/>
          <w:szCs w:val="26"/>
        </w:rPr>
        <w:t>Adopting the English Rule for attorney disciplinary proceedings would deter lawyers from seeking due process.</w:t>
      </w:r>
    </w:p>
    <w:p w14:paraId="416FD0F6" w14:textId="563A092A" w:rsidR="00A43050" w:rsidRDefault="00A43050" w:rsidP="002C396B">
      <w:pPr>
        <w:tabs>
          <w:tab w:val="left" w:pos="0"/>
        </w:tabs>
        <w:rPr>
          <w:sz w:val="26"/>
          <w:szCs w:val="26"/>
        </w:rPr>
      </w:pPr>
      <w:r>
        <w:rPr>
          <w:sz w:val="26"/>
          <w:szCs w:val="26"/>
        </w:rPr>
        <w:tab/>
        <w:t xml:space="preserve">The State Bar is suggesting a change that is </w:t>
      </w:r>
      <w:r w:rsidR="00CF241C">
        <w:rPr>
          <w:sz w:val="26"/>
          <w:szCs w:val="26"/>
        </w:rPr>
        <w:t>analogous</w:t>
      </w:r>
      <w:r>
        <w:rPr>
          <w:sz w:val="26"/>
          <w:szCs w:val="26"/>
        </w:rPr>
        <w:t xml:space="preserve"> to the English Rule, i.e., the custom in Great Britain and the Commonwealth to award attorneys’ fees to the prevailing party in a civil action.  There are many reasons we do not follow suit in the United States, among them that we have long equated due process with access to justice—or more simply, </w:t>
      </w:r>
      <w:r w:rsidR="005B1C2E">
        <w:rPr>
          <w:sz w:val="26"/>
          <w:szCs w:val="26"/>
        </w:rPr>
        <w:t xml:space="preserve">the notion </w:t>
      </w:r>
      <w:r>
        <w:rPr>
          <w:sz w:val="26"/>
          <w:szCs w:val="26"/>
        </w:rPr>
        <w:t>that every</w:t>
      </w:r>
      <w:r w:rsidR="005B1C2E">
        <w:rPr>
          <w:sz w:val="26"/>
          <w:szCs w:val="26"/>
        </w:rPr>
        <w:t>one</w:t>
      </w:r>
      <w:r>
        <w:rPr>
          <w:sz w:val="26"/>
          <w:szCs w:val="26"/>
        </w:rPr>
        <w:t xml:space="preserve"> is entitled to their day in court.</w:t>
      </w:r>
      <w:r>
        <w:rPr>
          <w:rStyle w:val="FootnoteReference"/>
          <w:sz w:val="26"/>
          <w:szCs w:val="26"/>
        </w:rPr>
        <w:footnoteReference w:id="1"/>
      </w:r>
      <w:r>
        <w:rPr>
          <w:sz w:val="26"/>
          <w:szCs w:val="26"/>
        </w:rPr>
        <w:t xml:space="preserve">  </w:t>
      </w:r>
      <w:r w:rsidR="005B1C2E">
        <w:rPr>
          <w:sz w:val="26"/>
          <w:szCs w:val="26"/>
        </w:rPr>
        <w:t>T</w:t>
      </w:r>
      <w:r>
        <w:rPr>
          <w:sz w:val="26"/>
          <w:szCs w:val="26"/>
        </w:rPr>
        <w:t>here is no reason to dispense with this</w:t>
      </w:r>
      <w:r w:rsidR="005B1C2E">
        <w:rPr>
          <w:sz w:val="26"/>
          <w:szCs w:val="26"/>
        </w:rPr>
        <w:t xml:space="preserve"> principle</w:t>
      </w:r>
      <w:r>
        <w:rPr>
          <w:sz w:val="26"/>
          <w:szCs w:val="26"/>
        </w:rPr>
        <w:t xml:space="preserve"> in the context of lawyer</w:t>
      </w:r>
      <w:r w:rsidR="005B1C2E">
        <w:rPr>
          <w:sz w:val="26"/>
          <w:szCs w:val="26"/>
        </w:rPr>
        <w:t xml:space="preserve"> discipline</w:t>
      </w:r>
      <w:r>
        <w:rPr>
          <w:sz w:val="26"/>
          <w:szCs w:val="26"/>
        </w:rPr>
        <w:t xml:space="preserve">.  </w:t>
      </w:r>
      <w:r w:rsidR="004F2A58">
        <w:rPr>
          <w:sz w:val="26"/>
          <w:szCs w:val="26"/>
        </w:rPr>
        <w:t>In fact,</w:t>
      </w:r>
      <w:r>
        <w:rPr>
          <w:sz w:val="26"/>
          <w:szCs w:val="26"/>
        </w:rPr>
        <w:t xml:space="preserve"> the opposite is true given that the stakes could </w:t>
      </w:r>
      <w:r w:rsidR="00046C0F">
        <w:rPr>
          <w:sz w:val="26"/>
          <w:szCs w:val="26"/>
        </w:rPr>
        <w:t>hardly</w:t>
      </w:r>
      <w:r>
        <w:rPr>
          <w:sz w:val="26"/>
          <w:szCs w:val="26"/>
        </w:rPr>
        <w:t xml:space="preserve"> be higher for the respondent attorney.</w:t>
      </w:r>
      <w:r w:rsidR="005B1C2E">
        <w:rPr>
          <w:rStyle w:val="FootnoteReference"/>
          <w:sz w:val="26"/>
          <w:szCs w:val="26"/>
        </w:rPr>
        <w:footnoteReference w:id="2"/>
      </w:r>
      <w:r>
        <w:rPr>
          <w:sz w:val="26"/>
          <w:szCs w:val="26"/>
        </w:rPr>
        <w:t xml:space="preserve">  This rule change would </w:t>
      </w:r>
      <w:r w:rsidR="005B1C2E">
        <w:rPr>
          <w:sz w:val="26"/>
          <w:szCs w:val="26"/>
        </w:rPr>
        <w:t xml:space="preserve">further </w:t>
      </w:r>
      <w:r>
        <w:rPr>
          <w:sz w:val="26"/>
          <w:szCs w:val="26"/>
        </w:rPr>
        <w:t xml:space="preserve">tilt an already </w:t>
      </w:r>
      <w:r w:rsidR="005B1C2E">
        <w:rPr>
          <w:sz w:val="26"/>
          <w:szCs w:val="26"/>
        </w:rPr>
        <w:t>unbalanced</w:t>
      </w:r>
      <w:r>
        <w:rPr>
          <w:sz w:val="26"/>
          <w:szCs w:val="26"/>
        </w:rPr>
        <w:t xml:space="preserve"> process against </w:t>
      </w:r>
      <w:r w:rsidR="00CF241C">
        <w:rPr>
          <w:sz w:val="26"/>
          <w:szCs w:val="26"/>
        </w:rPr>
        <w:t>respondent attorneys</w:t>
      </w:r>
      <w:r w:rsidR="005B1C2E">
        <w:rPr>
          <w:sz w:val="26"/>
          <w:szCs w:val="26"/>
        </w:rPr>
        <w:t xml:space="preserve"> and give them pause as to whether to insist on their day in court, as it were.  That is not a tenable position for </w:t>
      </w:r>
      <w:r w:rsidR="00FB01A0">
        <w:rPr>
          <w:sz w:val="26"/>
          <w:szCs w:val="26"/>
        </w:rPr>
        <w:t xml:space="preserve">respondent </w:t>
      </w:r>
      <w:r w:rsidR="00CF241C">
        <w:rPr>
          <w:sz w:val="26"/>
          <w:szCs w:val="26"/>
        </w:rPr>
        <w:t>attorneys.  Neither is it an</w:t>
      </w:r>
      <w:r w:rsidR="005B1C2E">
        <w:rPr>
          <w:sz w:val="26"/>
          <w:szCs w:val="26"/>
        </w:rPr>
        <w:t xml:space="preserve"> acceptable balance of power </w:t>
      </w:r>
      <w:r w:rsidR="005B1C2E">
        <w:rPr>
          <w:sz w:val="26"/>
          <w:szCs w:val="26"/>
        </w:rPr>
        <w:lastRenderedPageBreak/>
        <w:t>between the Bar and its members.</w:t>
      </w:r>
      <w:r w:rsidR="00FB01A0">
        <w:rPr>
          <w:sz w:val="26"/>
          <w:szCs w:val="26"/>
        </w:rPr>
        <w:t xml:space="preserve">  We should take no comfort in the knowledge that most of us will never find ourselves at a disciplinary hearing.  It is in the nature of due process that we afford it to the worst offenders for the sake of all of us.</w:t>
      </w:r>
    </w:p>
    <w:p w14:paraId="6747E807" w14:textId="77777777" w:rsidR="00FB01A0" w:rsidRDefault="00FB01A0" w:rsidP="002C396B">
      <w:pPr>
        <w:tabs>
          <w:tab w:val="left" w:pos="0"/>
        </w:tabs>
        <w:rPr>
          <w:sz w:val="26"/>
          <w:szCs w:val="26"/>
        </w:rPr>
      </w:pPr>
    </w:p>
    <w:p w14:paraId="54862A5D" w14:textId="0F9233EE" w:rsidR="00A652BC" w:rsidRDefault="00BA79C9" w:rsidP="002C396B">
      <w:pPr>
        <w:tabs>
          <w:tab w:val="left" w:pos="0"/>
        </w:tabs>
        <w:rPr>
          <w:b/>
          <w:bCs/>
          <w:sz w:val="26"/>
          <w:szCs w:val="26"/>
        </w:rPr>
      </w:pPr>
      <w:r>
        <w:rPr>
          <w:b/>
          <w:bCs/>
          <w:sz w:val="26"/>
          <w:szCs w:val="26"/>
        </w:rPr>
        <w:t>CONCLUSION</w:t>
      </w:r>
    </w:p>
    <w:p w14:paraId="268AD2B6" w14:textId="0F5661D1" w:rsidR="006E7045" w:rsidRDefault="006E7045" w:rsidP="002C396B">
      <w:pPr>
        <w:tabs>
          <w:tab w:val="left" w:pos="0"/>
        </w:tabs>
        <w:rPr>
          <w:sz w:val="26"/>
          <w:szCs w:val="26"/>
        </w:rPr>
      </w:pPr>
      <w:r>
        <w:rPr>
          <w:sz w:val="26"/>
          <w:szCs w:val="26"/>
        </w:rPr>
        <w:tab/>
        <w:t xml:space="preserve">Regulating our profession and vindicating the time-honored rules of ethics and conduct on which it rests </w:t>
      </w:r>
      <w:r w:rsidR="00FB01A0">
        <w:rPr>
          <w:sz w:val="26"/>
          <w:szCs w:val="26"/>
        </w:rPr>
        <w:t>are</w:t>
      </w:r>
      <w:r>
        <w:rPr>
          <w:sz w:val="26"/>
          <w:szCs w:val="26"/>
        </w:rPr>
        <w:t xml:space="preserve"> a weighty business</w:t>
      </w:r>
      <w:r w:rsidR="00454D4F">
        <w:rPr>
          <w:sz w:val="26"/>
          <w:szCs w:val="26"/>
        </w:rPr>
        <w:t xml:space="preserve">, and not just for the State Bar.  </w:t>
      </w:r>
      <w:r w:rsidR="003D3763">
        <w:rPr>
          <w:sz w:val="26"/>
          <w:szCs w:val="26"/>
        </w:rPr>
        <w:t>We</w:t>
      </w:r>
      <w:r w:rsidR="00454D4F">
        <w:rPr>
          <w:sz w:val="26"/>
          <w:szCs w:val="26"/>
        </w:rPr>
        <w:t xml:space="preserve"> would hazard that most of us read the Arizona Attorney magazine—</w:t>
      </w:r>
      <w:r w:rsidR="00F625C1">
        <w:rPr>
          <w:sz w:val="26"/>
          <w:szCs w:val="26"/>
        </w:rPr>
        <w:t xml:space="preserve">that is, </w:t>
      </w:r>
      <w:r w:rsidR="00454D4F">
        <w:rPr>
          <w:sz w:val="26"/>
          <w:szCs w:val="26"/>
        </w:rPr>
        <w:t xml:space="preserve">if we read it at all—for the sole reason of skimming its Lawyer Regulation section.  We rubberneck at the ethical trainwrecks on display and cringe at the worst offenders while silently nodding in approval at a righteous suspension or disbarment.  </w:t>
      </w:r>
      <w:r w:rsidR="00F625C1">
        <w:rPr>
          <w:sz w:val="26"/>
          <w:szCs w:val="26"/>
        </w:rPr>
        <w:t>Nevertheless</w:t>
      </w:r>
      <w:r w:rsidR="00454D4F">
        <w:rPr>
          <w:sz w:val="26"/>
          <w:szCs w:val="26"/>
        </w:rPr>
        <w:t xml:space="preserve">, we should resist the urge to give the State Bar a Sword of Damocles to </w:t>
      </w:r>
      <w:r w:rsidR="00F625C1">
        <w:rPr>
          <w:sz w:val="26"/>
          <w:szCs w:val="26"/>
        </w:rPr>
        <w:t>dangle</w:t>
      </w:r>
      <w:r w:rsidR="00454D4F">
        <w:rPr>
          <w:sz w:val="26"/>
          <w:szCs w:val="26"/>
        </w:rPr>
        <w:t xml:space="preserve"> over </w:t>
      </w:r>
      <w:r w:rsidR="004F2A58">
        <w:rPr>
          <w:sz w:val="26"/>
          <w:szCs w:val="26"/>
        </w:rPr>
        <w:t xml:space="preserve">all </w:t>
      </w:r>
      <w:r w:rsidR="00F625C1">
        <w:rPr>
          <w:sz w:val="26"/>
          <w:szCs w:val="26"/>
        </w:rPr>
        <w:t>our heads</w:t>
      </w:r>
      <w:r w:rsidR="00454D4F">
        <w:rPr>
          <w:sz w:val="26"/>
          <w:szCs w:val="26"/>
        </w:rPr>
        <w:t xml:space="preserve">.  Heaping the State Bar’s attorneys’ fees on top of </w:t>
      </w:r>
      <w:r w:rsidR="000A36A6">
        <w:rPr>
          <w:sz w:val="26"/>
          <w:szCs w:val="26"/>
        </w:rPr>
        <w:t xml:space="preserve">a </w:t>
      </w:r>
      <w:r w:rsidR="004F2A58">
        <w:rPr>
          <w:sz w:val="26"/>
          <w:szCs w:val="26"/>
        </w:rPr>
        <w:t>respondent</w:t>
      </w:r>
      <w:r w:rsidR="00CF241C">
        <w:rPr>
          <w:sz w:val="26"/>
          <w:szCs w:val="26"/>
        </w:rPr>
        <w:t>’</w:t>
      </w:r>
      <w:r w:rsidR="000A36A6">
        <w:rPr>
          <w:sz w:val="26"/>
          <w:szCs w:val="26"/>
        </w:rPr>
        <w:t>s</w:t>
      </w:r>
      <w:r w:rsidR="00454D4F">
        <w:rPr>
          <w:sz w:val="26"/>
          <w:szCs w:val="26"/>
        </w:rPr>
        <w:t xml:space="preserve"> own attorneys’ fees, </w:t>
      </w:r>
      <w:r w:rsidR="00F625C1">
        <w:rPr>
          <w:sz w:val="26"/>
          <w:szCs w:val="26"/>
        </w:rPr>
        <w:t>administrative expenses, and lasting professional humiliation is such a sword.</w:t>
      </w:r>
      <w:r w:rsidR="002C396B">
        <w:rPr>
          <w:sz w:val="26"/>
          <w:szCs w:val="26"/>
        </w:rPr>
        <w:t xml:space="preserve">  It is a sharp reminder of just how much it costs for us to demand due process </w:t>
      </w:r>
      <w:r w:rsidR="00FB01A0">
        <w:rPr>
          <w:sz w:val="26"/>
          <w:szCs w:val="26"/>
        </w:rPr>
        <w:t>should</w:t>
      </w:r>
      <w:r w:rsidR="002C396B">
        <w:rPr>
          <w:sz w:val="26"/>
          <w:szCs w:val="26"/>
        </w:rPr>
        <w:t xml:space="preserve"> we find ourselves on the wrong side of the Bar.</w:t>
      </w:r>
      <w:r w:rsidR="00F625C1">
        <w:rPr>
          <w:sz w:val="26"/>
          <w:szCs w:val="26"/>
        </w:rPr>
        <w:t xml:space="preserve">  </w:t>
      </w:r>
      <w:r w:rsidR="002C396B">
        <w:rPr>
          <w:sz w:val="26"/>
          <w:szCs w:val="26"/>
        </w:rPr>
        <w:t>More to the point, the propose</w:t>
      </w:r>
      <w:r w:rsidR="004F2A58">
        <w:rPr>
          <w:sz w:val="26"/>
          <w:szCs w:val="26"/>
        </w:rPr>
        <w:t>d</w:t>
      </w:r>
      <w:r w:rsidR="002C396B">
        <w:rPr>
          <w:sz w:val="26"/>
          <w:szCs w:val="26"/>
        </w:rPr>
        <w:t xml:space="preserve"> change</w:t>
      </w:r>
      <w:r w:rsidR="00F625C1">
        <w:rPr>
          <w:sz w:val="26"/>
          <w:szCs w:val="26"/>
        </w:rPr>
        <w:t xml:space="preserve"> is gratuitous, and it is little more than the State Bar insisting on its pound of flesh</w:t>
      </w:r>
      <w:r w:rsidR="002C396B">
        <w:rPr>
          <w:sz w:val="26"/>
          <w:szCs w:val="26"/>
        </w:rPr>
        <w:t xml:space="preserve"> and taking even more money from its members</w:t>
      </w:r>
      <w:r w:rsidR="00F625C1">
        <w:rPr>
          <w:sz w:val="26"/>
          <w:szCs w:val="26"/>
        </w:rPr>
        <w:t>.</w:t>
      </w:r>
      <w:r w:rsidR="00454D4F">
        <w:rPr>
          <w:sz w:val="26"/>
          <w:szCs w:val="26"/>
        </w:rPr>
        <w:t xml:space="preserve"> </w:t>
      </w:r>
    </w:p>
    <w:p w14:paraId="2CE80591" w14:textId="4D97A18C" w:rsidR="00800A55" w:rsidRDefault="002C396B" w:rsidP="002C396B">
      <w:pPr>
        <w:tabs>
          <w:tab w:val="left" w:pos="0"/>
        </w:tabs>
        <w:rPr>
          <w:sz w:val="26"/>
          <w:szCs w:val="26"/>
        </w:rPr>
      </w:pPr>
      <w:r>
        <w:rPr>
          <w:sz w:val="26"/>
          <w:szCs w:val="26"/>
        </w:rPr>
        <w:tab/>
        <w:t xml:space="preserve">As the title character in Shakespeare’s </w:t>
      </w:r>
      <w:r>
        <w:rPr>
          <w:i/>
          <w:iCs/>
          <w:sz w:val="26"/>
          <w:szCs w:val="26"/>
        </w:rPr>
        <w:t xml:space="preserve">Henry V </w:t>
      </w:r>
      <w:r>
        <w:rPr>
          <w:sz w:val="26"/>
          <w:szCs w:val="26"/>
        </w:rPr>
        <w:t xml:space="preserve">admonished his </w:t>
      </w:r>
      <w:r w:rsidR="004F2A58">
        <w:rPr>
          <w:sz w:val="26"/>
          <w:szCs w:val="26"/>
        </w:rPr>
        <w:t>soldiers</w:t>
      </w:r>
      <w:r>
        <w:rPr>
          <w:sz w:val="26"/>
          <w:szCs w:val="26"/>
        </w:rPr>
        <w:t>, “</w:t>
      </w:r>
      <w:r w:rsidR="00C86381" w:rsidRPr="00C86381">
        <w:rPr>
          <w:sz w:val="26"/>
          <w:szCs w:val="26"/>
        </w:rPr>
        <w:t>when lenity and cruelty play for a kingdom, the</w:t>
      </w:r>
      <w:r w:rsidR="00C86381">
        <w:rPr>
          <w:sz w:val="26"/>
          <w:szCs w:val="26"/>
        </w:rPr>
        <w:t xml:space="preserve"> </w:t>
      </w:r>
      <w:r w:rsidR="00C86381" w:rsidRPr="00C86381">
        <w:rPr>
          <w:sz w:val="26"/>
          <w:szCs w:val="26"/>
        </w:rPr>
        <w:t>gentler gamester is the soonest winner</w:t>
      </w:r>
      <w:r>
        <w:rPr>
          <w:sz w:val="26"/>
          <w:szCs w:val="26"/>
        </w:rPr>
        <w:t>.”</w:t>
      </w:r>
      <w:r w:rsidR="004F2A58">
        <w:rPr>
          <w:sz w:val="26"/>
          <w:szCs w:val="26"/>
        </w:rPr>
        <w:t xml:space="preserve">  </w:t>
      </w:r>
      <w:r w:rsidR="004F2A58" w:rsidRPr="004F2A58">
        <w:rPr>
          <w:i/>
          <w:iCs/>
          <w:sz w:val="26"/>
          <w:szCs w:val="26"/>
        </w:rPr>
        <w:t>Henry V</w:t>
      </w:r>
      <w:r w:rsidR="004F2A58">
        <w:rPr>
          <w:smallCaps/>
          <w:sz w:val="26"/>
          <w:szCs w:val="26"/>
        </w:rPr>
        <w:t xml:space="preserve">, </w:t>
      </w:r>
      <w:r w:rsidR="004F2A58">
        <w:rPr>
          <w:sz w:val="26"/>
          <w:szCs w:val="26"/>
        </w:rPr>
        <w:t>act III, scene vi.</w:t>
      </w:r>
      <w:r>
        <w:rPr>
          <w:sz w:val="26"/>
          <w:szCs w:val="26"/>
        </w:rPr>
        <w:t xml:space="preserve">  So too should we take a more measured path.  This Petition should be rejected.</w:t>
      </w:r>
    </w:p>
    <w:p w14:paraId="554F9157" w14:textId="4F8175E4" w:rsidR="00C86381" w:rsidRDefault="00D70C08" w:rsidP="00C86381">
      <w:pPr>
        <w:tabs>
          <w:tab w:val="left" w:pos="0"/>
        </w:tabs>
        <w:jc w:val="both"/>
        <w:rPr>
          <w:sz w:val="26"/>
          <w:szCs w:val="26"/>
        </w:rPr>
      </w:pPr>
      <w:r>
        <w:rPr>
          <w:sz w:val="26"/>
          <w:szCs w:val="26"/>
        </w:rPr>
        <w:t>///</w:t>
      </w:r>
    </w:p>
    <w:p w14:paraId="542BAB39" w14:textId="3CC5073D" w:rsidR="00FB01A0" w:rsidRDefault="00D70C08" w:rsidP="00C86381">
      <w:pPr>
        <w:tabs>
          <w:tab w:val="left" w:pos="0"/>
        </w:tabs>
        <w:jc w:val="both"/>
        <w:rPr>
          <w:sz w:val="26"/>
          <w:szCs w:val="26"/>
        </w:rPr>
      </w:pPr>
      <w:r>
        <w:rPr>
          <w:sz w:val="26"/>
          <w:szCs w:val="26"/>
        </w:rPr>
        <w:t>///</w:t>
      </w:r>
    </w:p>
    <w:p w14:paraId="0AA5BCBD" w14:textId="5AF2D95C" w:rsidR="00FB01A0" w:rsidRDefault="00D70C08" w:rsidP="00C86381">
      <w:pPr>
        <w:tabs>
          <w:tab w:val="left" w:pos="0"/>
        </w:tabs>
        <w:jc w:val="both"/>
        <w:rPr>
          <w:sz w:val="26"/>
          <w:szCs w:val="26"/>
        </w:rPr>
      </w:pPr>
      <w:r>
        <w:rPr>
          <w:sz w:val="26"/>
          <w:szCs w:val="26"/>
        </w:rPr>
        <w:t>///</w:t>
      </w:r>
    </w:p>
    <w:p w14:paraId="5B62AA2C" w14:textId="777FFEB1" w:rsidR="001A2AD6" w:rsidRPr="00EC47ED" w:rsidRDefault="00D70C08" w:rsidP="00C86381">
      <w:pPr>
        <w:tabs>
          <w:tab w:val="left" w:pos="0"/>
        </w:tabs>
        <w:jc w:val="both"/>
        <w:rPr>
          <w:sz w:val="26"/>
          <w:szCs w:val="26"/>
        </w:rPr>
      </w:pPr>
      <w:r>
        <w:rPr>
          <w:sz w:val="26"/>
          <w:szCs w:val="26"/>
        </w:rPr>
        <w:t>///</w:t>
      </w:r>
    </w:p>
    <w:p w14:paraId="53801843" w14:textId="2A73F6A1" w:rsidR="0068404C" w:rsidRPr="00B741C5" w:rsidRDefault="00B741C5" w:rsidP="00247B4D">
      <w:pPr>
        <w:tabs>
          <w:tab w:val="left" w:pos="720"/>
        </w:tabs>
        <w:jc w:val="both"/>
        <w:rPr>
          <w:sz w:val="26"/>
          <w:szCs w:val="26"/>
        </w:rPr>
      </w:pPr>
      <w:r>
        <w:rPr>
          <w:sz w:val="26"/>
          <w:szCs w:val="26"/>
        </w:rPr>
        <w:lastRenderedPageBreak/>
        <w:tab/>
      </w:r>
      <w:r w:rsidR="00907F7B">
        <w:rPr>
          <w:sz w:val="26"/>
          <w:szCs w:val="26"/>
        </w:rPr>
        <w:t>RESPECTFULLY SUBMITTED</w:t>
      </w:r>
      <w:r>
        <w:rPr>
          <w:sz w:val="26"/>
          <w:szCs w:val="26"/>
        </w:rPr>
        <w:t xml:space="preserve"> </w:t>
      </w:r>
      <w:r w:rsidR="00213A14">
        <w:rPr>
          <w:sz w:val="26"/>
          <w:szCs w:val="26"/>
        </w:rPr>
        <w:t xml:space="preserve">this </w:t>
      </w:r>
      <w:r w:rsidR="000E1B7D">
        <w:rPr>
          <w:sz w:val="26"/>
          <w:szCs w:val="26"/>
        </w:rPr>
        <w:t>3rd</w:t>
      </w:r>
      <w:r w:rsidR="006C43D4">
        <w:rPr>
          <w:sz w:val="26"/>
          <w:szCs w:val="26"/>
        </w:rPr>
        <w:t xml:space="preserve"> </w:t>
      </w:r>
      <w:r w:rsidR="00213A14">
        <w:rPr>
          <w:sz w:val="26"/>
          <w:szCs w:val="26"/>
        </w:rPr>
        <w:t xml:space="preserve">day of </w:t>
      </w:r>
      <w:r w:rsidR="00FB01A0">
        <w:rPr>
          <w:sz w:val="26"/>
          <w:szCs w:val="26"/>
        </w:rPr>
        <w:t>October</w:t>
      </w:r>
      <w:r w:rsidR="00A20800">
        <w:rPr>
          <w:sz w:val="26"/>
          <w:szCs w:val="26"/>
        </w:rPr>
        <w:t xml:space="preserve"> </w:t>
      </w:r>
      <w:r w:rsidR="004C6BC2" w:rsidRPr="00B741C5">
        <w:rPr>
          <w:sz w:val="26"/>
          <w:szCs w:val="26"/>
        </w:rPr>
        <w:t>20</w:t>
      </w:r>
      <w:r w:rsidR="00BA0669">
        <w:rPr>
          <w:sz w:val="26"/>
          <w:szCs w:val="26"/>
        </w:rPr>
        <w:t>2</w:t>
      </w:r>
      <w:r w:rsidR="004C23D6">
        <w:rPr>
          <w:sz w:val="26"/>
          <w:szCs w:val="26"/>
        </w:rPr>
        <w:t>2</w:t>
      </w:r>
      <w:r w:rsidR="004C6BC2" w:rsidRPr="00B741C5">
        <w:rPr>
          <w:sz w:val="26"/>
          <w:szCs w:val="26"/>
        </w:rPr>
        <w:t>.</w:t>
      </w:r>
    </w:p>
    <w:p w14:paraId="21C8C6A6" w14:textId="77777777" w:rsidR="0068404C" w:rsidRPr="004C6BC2" w:rsidRDefault="0068404C" w:rsidP="00B741C5">
      <w:pPr>
        <w:pStyle w:val="ListParagraph"/>
        <w:spacing w:line="236" w:lineRule="exact"/>
        <w:ind w:left="0"/>
        <w:jc w:val="both"/>
        <w:rPr>
          <w:sz w:val="26"/>
          <w:szCs w:val="26"/>
        </w:rPr>
      </w:pPr>
    </w:p>
    <w:p w14:paraId="5B5CDEDA" w14:textId="2E799A5C" w:rsidR="004C6BC2" w:rsidRDefault="004C6BC2" w:rsidP="00B741C5">
      <w:pPr>
        <w:pStyle w:val="ListParagraph"/>
        <w:spacing w:line="236" w:lineRule="exact"/>
        <w:ind w:left="0"/>
        <w:jc w:val="both"/>
        <w:rPr>
          <w:sz w:val="26"/>
          <w:szCs w:val="26"/>
        </w:rPr>
      </w:pPr>
    </w:p>
    <w:p w14:paraId="0A237CEA" w14:textId="77777777" w:rsidR="0068404C" w:rsidRPr="004C6BC2" w:rsidRDefault="0068404C" w:rsidP="00B741C5">
      <w:pPr>
        <w:pStyle w:val="ListParagraph"/>
        <w:spacing w:line="236" w:lineRule="exact"/>
        <w:ind w:left="0"/>
        <w:jc w:val="both"/>
        <w:rPr>
          <w:sz w:val="26"/>
          <w:szCs w:val="26"/>
        </w:rPr>
      </w:pPr>
    </w:p>
    <w:p w14:paraId="14DE3FA4" w14:textId="1086D032" w:rsidR="006A015E" w:rsidRDefault="00115179" w:rsidP="0041554B">
      <w:pPr>
        <w:pStyle w:val="ListParagraph"/>
        <w:tabs>
          <w:tab w:val="left" w:pos="3960"/>
        </w:tabs>
        <w:spacing w:line="236" w:lineRule="exact"/>
        <w:ind w:left="0"/>
        <w:jc w:val="both"/>
        <w:rPr>
          <w:rFonts w:ascii="Century Schoolbook" w:hAnsi="Century Schoolbook"/>
          <w:b/>
          <w:smallCaps/>
          <w:sz w:val="26"/>
          <w:szCs w:val="26"/>
        </w:rPr>
      </w:pPr>
      <w:r>
        <w:rPr>
          <w:sz w:val="26"/>
          <w:szCs w:val="26"/>
        </w:rPr>
        <w:tab/>
      </w:r>
      <w:r w:rsidR="0068404C">
        <w:rPr>
          <w:rFonts w:ascii="Century Schoolbook" w:hAnsi="Century Schoolbook"/>
          <w:b/>
          <w:smallCaps/>
          <w:sz w:val="26"/>
          <w:szCs w:val="26"/>
        </w:rPr>
        <w:t>P</w:t>
      </w:r>
      <w:r w:rsidR="006A015E" w:rsidRPr="005263EE">
        <w:rPr>
          <w:rFonts w:ascii="Century Schoolbook" w:hAnsi="Century Schoolbook"/>
          <w:b/>
          <w:smallCaps/>
          <w:sz w:val="26"/>
          <w:szCs w:val="26"/>
        </w:rPr>
        <w:t>ima County Bar Association</w:t>
      </w:r>
    </w:p>
    <w:p w14:paraId="2D3C4661" w14:textId="77777777" w:rsidR="00290DD5" w:rsidRPr="005263EE" w:rsidRDefault="00290DD5" w:rsidP="006A015E">
      <w:pPr>
        <w:pStyle w:val="ListParagraph"/>
        <w:tabs>
          <w:tab w:val="left" w:pos="4320"/>
        </w:tabs>
        <w:spacing w:line="236" w:lineRule="exact"/>
        <w:ind w:left="0"/>
        <w:jc w:val="both"/>
        <w:rPr>
          <w:rFonts w:ascii="Century Schoolbook" w:hAnsi="Century Schoolbook"/>
          <w:b/>
          <w:smallCaps/>
          <w:sz w:val="26"/>
          <w:szCs w:val="26"/>
        </w:rPr>
      </w:pPr>
    </w:p>
    <w:p w14:paraId="3F884289" w14:textId="77777777" w:rsidR="00115179" w:rsidRDefault="00115179" w:rsidP="00115179">
      <w:pPr>
        <w:pStyle w:val="ListParagraph"/>
        <w:spacing w:line="236" w:lineRule="exact"/>
        <w:ind w:left="0"/>
        <w:jc w:val="both"/>
        <w:rPr>
          <w:sz w:val="26"/>
          <w:szCs w:val="26"/>
        </w:rPr>
      </w:pPr>
    </w:p>
    <w:p w14:paraId="696D6A98" w14:textId="20B28702" w:rsidR="00115179" w:rsidRDefault="00115179" w:rsidP="00641961">
      <w:pPr>
        <w:pStyle w:val="ListParagraph"/>
        <w:spacing w:line="240" w:lineRule="auto"/>
        <w:ind w:left="3960"/>
        <w:jc w:val="both"/>
        <w:rPr>
          <w:sz w:val="26"/>
          <w:szCs w:val="26"/>
        </w:rPr>
      </w:pPr>
      <w:r>
        <w:rPr>
          <w:sz w:val="26"/>
          <w:szCs w:val="26"/>
        </w:rPr>
        <w:t>By</w:t>
      </w:r>
      <w:r w:rsidR="006C43D4">
        <w:rPr>
          <w:sz w:val="26"/>
          <w:szCs w:val="26"/>
        </w:rPr>
        <w:t xml:space="preserve"> </w:t>
      </w:r>
      <w:r w:rsidR="006C43D4" w:rsidRPr="006C43D4">
        <w:rPr>
          <w:i/>
          <w:iCs/>
          <w:sz w:val="26"/>
          <w:szCs w:val="26"/>
          <w:u w:val="single"/>
        </w:rPr>
        <w:t>s/James W. Rappaport</w:t>
      </w:r>
    </w:p>
    <w:p w14:paraId="259F277B" w14:textId="77777777" w:rsidR="00515C65" w:rsidRDefault="00115179"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619F9">
        <w:rPr>
          <w:rStyle w:val="Style1"/>
        </w:rPr>
        <w:t>James W. Rappaport</w:t>
      </w:r>
    </w:p>
    <w:p w14:paraId="65BA607D" w14:textId="77777777" w:rsidR="006A015E" w:rsidRDefault="00BE6F0F"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sidR="00115179">
        <w:rPr>
          <w:sz w:val="26"/>
          <w:szCs w:val="26"/>
        </w:rPr>
        <w:tab/>
      </w:r>
      <w:r w:rsidR="00A924BD" w:rsidRPr="00A924BD">
        <w:rPr>
          <w:i/>
          <w:sz w:val="26"/>
          <w:szCs w:val="26"/>
        </w:rPr>
        <w:t>Rules Committee Chair</w:t>
      </w:r>
    </w:p>
    <w:p w14:paraId="3A148E33" w14:textId="77777777" w:rsidR="00A924BD" w:rsidRDefault="00A924BD" w:rsidP="00641961">
      <w:pPr>
        <w:pStyle w:val="ListParagraph"/>
        <w:spacing w:line="240" w:lineRule="auto"/>
        <w:ind w:left="0"/>
        <w:jc w:val="both"/>
        <w:rPr>
          <w:i/>
          <w:sz w:val="26"/>
          <w:szCs w:val="26"/>
        </w:rPr>
      </w:pPr>
    </w:p>
    <w:p w14:paraId="36CC99B7" w14:textId="6136E601" w:rsidR="00A924BD" w:rsidRDefault="00A924BD" w:rsidP="00641961">
      <w:pPr>
        <w:pStyle w:val="ListParagraph"/>
        <w:spacing w:line="240" w:lineRule="auto"/>
        <w:ind w:left="0"/>
        <w:jc w:val="both"/>
        <w:rPr>
          <w:i/>
          <w:sz w:val="26"/>
          <w:szCs w:val="26"/>
        </w:rPr>
      </w:pPr>
    </w:p>
    <w:p w14:paraId="12228E35" w14:textId="77777777" w:rsidR="0068404C" w:rsidRDefault="0068404C" w:rsidP="00641961">
      <w:pPr>
        <w:pStyle w:val="ListParagraph"/>
        <w:spacing w:line="240" w:lineRule="auto"/>
        <w:ind w:left="0"/>
        <w:jc w:val="both"/>
        <w:rPr>
          <w:i/>
          <w:sz w:val="26"/>
          <w:szCs w:val="26"/>
        </w:rPr>
      </w:pPr>
    </w:p>
    <w:p w14:paraId="6231D95F" w14:textId="2FC771DE" w:rsidR="00A924BD" w:rsidRDefault="00A924BD" w:rsidP="00641961">
      <w:pPr>
        <w:pStyle w:val="ListParagraph"/>
        <w:spacing w:line="240" w:lineRule="auto"/>
        <w:ind w:left="3960"/>
        <w:jc w:val="both"/>
        <w:rPr>
          <w:sz w:val="26"/>
          <w:szCs w:val="26"/>
        </w:rPr>
      </w:pPr>
      <w:r>
        <w:rPr>
          <w:sz w:val="26"/>
          <w:szCs w:val="26"/>
        </w:rPr>
        <w:t>By</w:t>
      </w:r>
      <w:r>
        <w:rPr>
          <w:sz w:val="26"/>
          <w:szCs w:val="26"/>
        </w:rPr>
        <w:tab/>
      </w:r>
      <w:r w:rsidR="006C43D4">
        <w:rPr>
          <w:i/>
          <w:iCs/>
          <w:sz w:val="26"/>
          <w:szCs w:val="26"/>
          <w:u w:val="single"/>
        </w:rPr>
        <w:t>s</w:t>
      </w:r>
      <w:r w:rsidR="00DB0FDE">
        <w:rPr>
          <w:i/>
          <w:iCs/>
          <w:sz w:val="26"/>
          <w:szCs w:val="26"/>
          <w:u w:val="single"/>
        </w:rPr>
        <w:t>/</w:t>
      </w:r>
      <w:r w:rsidR="001A2AD6">
        <w:rPr>
          <w:i/>
          <w:iCs/>
          <w:sz w:val="26"/>
          <w:szCs w:val="26"/>
          <w:u w:val="single"/>
        </w:rPr>
        <w:t>Joseph A. Ezzo</w:t>
      </w:r>
      <w:r w:rsidR="0088607C">
        <w:rPr>
          <w:i/>
          <w:iCs/>
          <w:sz w:val="26"/>
          <w:szCs w:val="26"/>
          <w:u w:val="single"/>
        </w:rPr>
        <w:t xml:space="preserve">        </w:t>
      </w:r>
    </w:p>
    <w:p w14:paraId="2D6CEDD3" w14:textId="2421D137" w:rsidR="00A924BD" w:rsidRPr="0068404C" w:rsidRDefault="00A924BD"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B01A0">
        <w:rPr>
          <w:rStyle w:val="Style1"/>
        </w:rPr>
        <w:t>Joseph A. Ezzo</w:t>
      </w:r>
    </w:p>
    <w:p w14:paraId="46EC8919" w14:textId="77777777" w:rsidR="00A924BD" w:rsidRPr="00A924BD" w:rsidRDefault="00A924BD"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Pr>
          <w:sz w:val="26"/>
          <w:szCs w:val="26"/>
        </w:rPr>
        <w:tab/>
      </w:r>
      <w:r>
        <w:rPr>
          <w:i/>
          <w:sz w:val="26"/>
          <w:szCs w:val="26"/>
        </w:rPr>
        <w:t>President</w:t>
      </w:r>
    </w:p>
    <w:p w14:paraId="7B546EED" w14:textId="77777777" w:rsidR="005C4E11" w:rsidRPr="00C9234D" w:rsidRDefault="005C4E11" w:rsidP="00675290">
      <w:pPr>
        <w:pStyle w:val="ListParagraph"/>
        <w:spacing w:line="236" w:lineRule="exact"/>
        <w:ind w:left="0"/>
        <w:jc w:val="both"/>
        <w:rPr>
          <w:sz w:val="26"/>
          <w:szCs w:val="26"/>
        </w:rPr>
      </w:pPr>
    </w:p>
    <w:sectPr w:rsidR="005C4E11" w:rsidRPr="00C9234D" w:rsidSect="008F1605">
      <w:headerReference w:type="default" r:id="rId8"/>
      <w:footerReference w:type="default" r:id="rId9"/>
      <w:type w:val="continuous"/>
      <w:pgSz w:w="12240" w:h="15840" w:code="1"/>
      <w:pgMar w:top="1915" w:right="720" w:bottom="144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C2B89" w14:textId="77777777" w:rsidR="0021249E" w:rsidRDefault="0021249E">
      <w:r>
        <w:separator/>
      </w:r>
    </w:p>
  </w:endnote>
  <w:endnote w:type="continuationSeparator" w:id="0">
    <w:p w14:paraId="0CA46308" w14:textId="77777777" w:rsidR="0021249E" w:rsidRDefault="0021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58131"/>
      <w:docPartObj>
        <w:docPartGallery w:val="Page Numbers (Bottom of Page)"/>
        <w:docPartUnique/>
      </w:docPartObj>
    </w:sdtPr>
    <w:sdtEndPr>
      <w:rPr>
        <w:noProof/>
      </w:rPr>
    </w:sdtEndPr>
    <w:sdtContent>
      <w:p w14:paraId="7BB61C18" w14:textId="5D757A3E" w:rsidR="00BA79C9" w:rsidRDefault="00BA79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39EC7" w14:textId="77777777" w:rsidR="00BA79C9" w:rsidRDefault="00BA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DA97F" w14:textId="77777777" w:rsidR="0021249E" w:rsidRDefault="0021249E">
      <w:pPr>
        <w:rPr>
          <w:noProof/>
        </w:rPr>
      </w:pPr>
      <w:r>
        <w:rPr>
          <w:noProof/>
        </w:rPr>
        <w:separator/>
      </w:r>
    </w:p>
  </w:footnote>
  <w:footnote w:type="continuationSeparator" w:id="0">
    <w:p w14:paraId="6CCA36F3" w14:textId="77777777" w:rsidR="0021249E" w:rsidRDefault="0021249E">
      <w:r>
        <w:continuationSeparator/>
      </w:r>
    </w:p>
  </w:footnote>
  <w:footnote w:id="1">
    <w:p w14:paraId="2D1E8D1E" w14:textId="6DAB0949" w:rsidR="00A43050" w:rsidRPr="005B1C2E" w:rsidRDefault="005B1C2E" w:rsidP="005B1C2E">
      <w:pPr>
        <w:pStyle w:val="FootnoteText"/>
        <w:ind w:firstLine="720"/>
        <w:rPr>
          <w:sz w:val="26"/>
          <w:szCs w:val="26"/>
        </w:rPr>
      </w:pPr>
      <w:r>
        <w:rPr>
          <w:sz w:val="26"/>
          <w:szCs w:val="26"/>
        </w:rPr>
        <w:t xml:space="preserve">1. </w:t>
      </w:r>
      <w:r w:rsidR="00A43050" w:rsidRPr="005B1C2E">
        <w:rPr>
          <w:sz w:val="26"/>
          <w:szCs w:val="26"/>
        </w:rPr>
        <w:t>Our Supreme Court evidently takes this notion</w:t>
      </w:r>
      <w:r w:rsidR="004F2A58">
        <w:rPr>
          <w:sz w:val="26"/>
          <w:szCs w:val="26"/>
        </w:rPr>
        <w:t xml:space="preserve"> quite</w:t>
      </w:r>
      <w:r w:rsidR="00A43050" w:rsidRPr="005B1C2E">
        <w:rPr>
          <w:sz w:val="26"/>
          <w:szCs w:val="26"/>
        </w:rPr>
        <w:t xml:space="preserve"> seriously considering that it established a commission—the Arizona Commission on Access to Justice—whose sole purpose is to </w:t>
      </w:r>
      <w:r w:rsidR="002829DA">
        <w:rPr>
          <w:sz w:val="26"/>
          <w:szCs w:val="26"/>
        </w:rPr>
        <w:t>expand access to the courts</w:t>
      </w:r>
      <w:r w:rsidR="00A43050" w:rsidRPr="005B1C2E">
        <w:rPr>
          <w:sz w:val="26"/>
          <w:szCs w:val="26"/>
        </w:rPr>
        <w:t xml:space="preserve">.  </w:t>
      </w:r>
      <w:r w:rsidR="00A43050" w:rsidRPr="005B1C2E">
        <w:rPr>
          <w:i/>
          <w:iCs/>
          <w:sz w:val="26"/>
          <w:szCs w:val="26"/>
        </w:rPr>
        <w:t xml:space="preserve">See </w:t>
      </w:r>
      <w:hyperlink r:id="rId1" w:anchor=":~:text=The%20Arizona%20Commission%20on%20Access,justice%20for%20Arizona's%20civil%20litigants." w:history="1">
        <w:r w:rsidR="00A43050" w:rsidRPr="005B1C2E">
          <w:rPr>
            <w:rStyle w:val="Hyperlink"/>
            <w:sz w:val="26"/>
            <w:szCs w:val="26"/>
          </w:rPr>
          <w:t>https://www.azcourts.gov/cscommittees/arizona-commission-on-access-to-justice#:~:text=The%20Arizona%20Commission%20on%20Access,justice%20for%20Arizona's%20civil%20litigants.</w:t>
        </w:r>
      </w:hyperlink>
    </w:p>
    <w:p w14:paraId="63B7CBF0" w14:textId="77777777" w:rsidR="005B1C2E" w:rsidRPr="005B1C2E" w:rsidRDefault="005B1C2E">
      <w:pPr>
        <w:pStyle w:val="FootnoteText"/>
        <w:rPr>
          <w:sz w:val="26"/>
          <w:szCs w:val="26"/>
        </w:rPr>
      </w:pPr>
    </w:p>
  </w:footnote>
  <w:footnote w:id="2">
    <w:p w14:paraId="63027E0D" w14:textId="44B8BC19" w:rsidR="005B1C2E" w:rsidRPr="005B1C2E" w:rsidRDefault="005B1C2E" w:rsidP="005B1C2E">
      <w:pPr>
        <w:pStyle w:val="FootnoteText"/>
        <w:ind w:firstLine="720"/>
        <w:rPr>
          <w:sz w:val="26"/>
          <w:szCs w:val="26"/>
        </w:rPr>
      </w:pPr>
      <w:r>
        <w:rPr>
          <w:sz w:val="26"/>
          <w:szCs w:val="26"/>
        </w:rPr>
        <w:t xml:space="preserve">2. </w:t>
      </w:r>
      <w:r w:rsidR="003D3763">
        <w:rPr>
          <w:sz w:val="26"/>
          <w:szCs w:val="26"/>
        </w:rPr>
        <w:t>We</w:t>
      </w:r>
      <w:r w:rsidRPr="005B1C2E">
        <w:rPr>
          <w:sz w:val="26"/>
          <w:szCs w:val="26"/>
        </w:rPr>
        <w:t xml:space="preserve"> would note that the loss of one’s bar license is functionally worse than many criminal </w:t>
      </w:r>
      <w:r>
        <w:rPr>
          <w:sz w:val="26"/>
          <w:szCs w:val="26"/>
        </w:rPr>
        <w:t>penalties</w:t>
      </w:r>
      <w:r w:rsidRPr="005B1C2E">
        <w:rPr>
          <w:sz w:val="26"/>
          <w:szCs w:val="26"/>
        </w:rPr>
        <w:t xml:space="preserve">.  Making a disbarred lawyer pay the State Bar’s attorneys’ fees is akin to forcing a convicted criminal defendant to pay for their own prosecutor. </w:t>
      </w:r>
      <w:r>
        <w:rPr>
          <w:sz w:val="26"/>
          <w:szCs w:val="26"/>
        </w:rPr>
        <w:t xml:space="preserve"> The absurdity is compounded when one considers that the State Bar’s members already pay yearly dues</w:t>
      </w:r>
      <w:r w:rsidR="00692292">
        <w:rPr>
          <w:sz w:val="26"/>
          <w:szCs w:val="26"/>
        </w:rPr>
        <w:t xml:space="preserve"> that are supposed to pay for the disciplinary process</w:t>
      </w:r>
      <w:r>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950D0" w14:textId="77777777" w:rsidR="00BA79C9" w:rsidRPr="004C2142" w:rsidRDefault="00BA79C9" w:rsidP="004C2142">
    <w:pPr>
      <w:pStyle w:val="Header"/>
      <w:tabs>
        <w:tab w:val="clear" w:pos="4320"/>
      </w:tabs>
      <w:spacing w:line="240" w:lineRule="auto"/>
      <w:rPr>
        <w:i/>
      </w:rPr>
    </w:pPr>
    <w:r>
      <w:rPr>
        <w:noProof/>
      </w:rPr>
      <mc:AlternateContent>
        <mc:Choice Requires="wps">
          <w:drawing>
            <wp:anchor distT="0" distB="0" distL="114300" distR="114300" simplePos="0" relativeHeight="251666944" behindDoc="0" locked="0" layoutInCell="1" allowOverlap="1" wp14:anchorId="28891FEF" wp14:editId="2F9ADA8F">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A375" w14:textId="77777777" w:rsidR="00BA79C9" w:rsidRPr="00FD2A80" w:rsidRDefault="00BA79C9" w:rsidP="00EC177C">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1FEF" id="_x0000_t202" coordsize="21600,21600" o:spt="202" path="m,l,21600r21600,l21600,xe">
              <v:stroke joinstyle="miter"/>
              <v:path gradientshapeok="t" o:connecttype="rect"/>
            </v:shapetype>
            <v:shape id="Text Box 7" o:spid="_x0000_s1026" type="#_x0000_t202" style="position:absolute;margin-left:-91.6pt;margin-top:283pt;width:76.5pt;height:16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" filled="f" stroked="f">
              <v:textbox style="layout-flow:vertical;mso-layout-flow-alt:bottom-to-top">
                <w:txbxContent>
                  <w:p w14:paraId="01BEA375" w14:textId="77777777" w:rsidR="00BA79C9" w:rsidRPr="00FD2A80" w:rsidRDefault="00BA79C9" w:rsidP="00EC177C">
                    <w:pPr>
                      <w:spacing w:line="240" w:lineRule="auto"/>
                      <w:jc w:val="center"/>
                      <w:rPr>
                        <w:rFonts w:ascii="Garamond" w:hAnsi="Garamond"/>
                        <w:smallCaps/>
                        <w:sz w:val="26"/>
                        <w:szCs w:val="26"/>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2BF6568" wp14:editId="63A22F3B">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2BF6568" id="LineNumbers" o:spid="_x0000_s1027" type="#_x0000_t202" style="position:absolute;margin-left:-50.4pt;margin-top:0;width:36pt;height:62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" stroked="f">
              <v:textbox inset="0,0,0,0">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3872" behindDoc="0" locked="0" layoutInCell="1" allowOverlap="1" wp14:anchorId="5FFACC37" wp14:editId="33793565">
              <wp:simplePos x="0" y="0"/>
              <wp:positionH relativeFrom="margin">
                <wp:posOffset>5943600</wp:posOffset>
              </wp:positionH>
              <wp:positionV relativeFrom="page">
                <wp:posOffset>0</wp:posOffset>
              </wp:positionV>
              <wp:extent cx="0" cy="10058400"/>
              <wp:effectExtent l="9525" t="9525" r="9525" b="9525"/>
              <wp:wrapNone/>
              <wp:docPr id="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3E88" id="RightBorder" o:spid="_x0000_s1026" style="position:absolute;z-index:2516638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14:anchorId="4C022E3F" wp14:editId="0AB4F677">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778B" id="LeftBorder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jgo/Z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5B5FE2F5" wp14:editId="0892C5E5">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AD83" id="LeftBorder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BlxQEAAHA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0geB5Y82qou&#10;fSJZVZhnfUYfG4Jt3C7kCcXknvwWxc/IHG4GcL0qfT6fPNWWiupVSQ6ip1v241eUhIFDwiLW1AWb&#10;KUkGNhVPTjdP1JSYOCcFZed1vbx7XxfDKmiulT7E9EWhZXnTcqNd1gsaOG5jot4JeoXktMNHbUzx&#10;3Dg2tvzjcrEsBRGNlvkww2Lo9xsT2BHyqylfFoLIXsECHpwsZIMC+fmyT6DNeU9446jsKsBZyj3K&#10;0y5kupwnWwvx5Qnmd/N7XFAvP8r6F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CkfAGXFAQAAcAMAAA4AAAAAAAAAAAAAAAAA&#10;LgIAAGRycy9lMm9Eb2MueG1sUEsBAi0AFAAGAAgAAAAhAM0P5h7aAAAABwEAAA8AAAAAAAAAAAAA&#10;AAAAHwQAAGRycy9kb3ducmV2LnhtbFBLBQYAAAAABAAEAPMAAAAmBQAAAAA=&#10;">
              <w10:wrap anchorx="margin" anchory="page"/>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12E7"/>
    <w:multiLevelType w:val="hybridMultilevel"/>
    <w:tmpl w:val="B60ED5B8"/>
    <w:lvl w:ilvl="0" w:tplc="D86091AC">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2BFF"/>
    <w:multiLevelType w:val="hybridMultilevel"/>
    <w:tmpl w:val="C0843F44"/>
    <w:lvl w:ilvl="0" w:tplc="C94615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D7B5D"/>
    <w:multiLevelType w:val="hybridMultilevel"/>
    <w:tmpl w:val="D0BE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D75BB"/>
    <w:multiLevelType w:val="hybridMultilevel"/>
    <w:tmpl w:val="683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B85"/>
    <w:multiLevelType w:val="hybridMultilevel"/>
    <w:tmpl w:val="7C649C6C"/>
    <w:lvl w:ilvl="0" w:tplc="43441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014"/>
    <w:multiLevelType w:val="hybridMultilevel"/>
    <w:tmpl w:val="7F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B6001"/>
    <w:multiLevelType w:val="hybridMultilevel"/>
    <w:tmpl w:val="029A24FA"/>
    <w:lvl w:ilvl="0" w:tplc="D12C3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C4E33"/>
    <w:multiLevelType w:val="hybridMultilevel"/>
    <w:tmpl w:val="5A7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B75"/>
    <w:multiLevelType w:val="hybridMultilevel"/>
    <w:tmpl w:val="A5285F2C"/>
    <w:lvl w:ilvl="0" w:tplc="4D3C6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FA40BD"/>
    <w:multiLevelType w:val="hybridMultilevel"/>
    <w:tmpl w:val="76D8BC9C"/>
    <w:lvl w:ilvl="0" w:tplc="E608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B5A0E"/>
    <w:multiLevelType w:val="hybridMultilevel"/>
    <w:tmpl w:val="1AA8E350"/>
    <w:lvl w:ilvl="0" w:tplc="D5A00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B7710"/>
    <w:multiLevelType w:val="hybridMultilevel"/>
    <w:tmpl w:val="F32A3D8E"/>
    <w:lvl w:ilvl="0" w:tplc="9A52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1A75BD"/>
    <w:multiLevelType w:val="hybridMultilevel"/>
    <w:tmpl w:val="4902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CB371C"/>
    <w:multiLevelType w:val="hybridMultilevel"/>
    <w:tmpl w:val="A62A1C82"/>
    <w:lvl w:ilvl="0" w:tplc="A0F66E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992939"/>
    <w:multiLevelType w:val="hybridMultilevel"/>
    <w:tmpl w:val="A36018F6"/>
    <w:lvl w:ilvl="0" w:tplc="9EF23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59132E"/>
    <w:multiLevelType w:val="hybridMultilevel"/>
    <w:tmpl w:val="9F18F30C"/>
    <w:lvl w:ilvl="0" w:tplc="C84EE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9656D"/>
    <w:multiLevelType w:val="hybridMultilevel"/>
    <w:tmpl w:val="AAE0E112"/>
    <w:lvl w:ilvl="0" w:tplc="BA8C2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9383E"/>
    <w:multiLevelType w:val="hybridMultilevel"/>
    <w:tmpl w:val="88A4A2D0"/>
    <w:lvl w:ilvl="0" w:tplc="D7D49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127FF"/>
    <w:multiLevelType w:val="hybridMultilevel"/>
    <w:tmpl w:val="F6D04D7A"/>
    <w:lvl w:ilvl="0" w:tplc="0CC41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751A5"/>
    <w:multiLevelType w:val="hybridMultilevel"/>
    <w:tmpl w:val="D20A67C6"/>
    <w:lvl w:ilvl="0" w:tplc="CE3C73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86461"/>
    <w:multiLevelType w:val="hybridMultilevel"/>
    <w:tmpl w:val="C200FC44"/>
    <w:lvl w:ilvl="0" w:tplc="2BD4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5144F"/>
    <w:multiLevelType w:val="hybridMultilevel"/>
    <w:tmpl w:val="D1E86C02"/>
    <w:lvl w:ilvl="0" w:tplc="0B565D0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62504"/>
    <w:multiLevelType w:val="hybridMultilevel"/>
    <w:tmpl w:val="611609E6"/>
    <w:lvl w:ilvl="0" w:tplc="40E02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A11E9"/>
    <w:multiLevelType w:val="hybridMultilevel"/>
    <w:tmpl w:val="811EE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03794"/>
    <w:multiLevelType w:val="hybridMultilevel"/>
    <w:tmpl w:val="E32240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00681"/>
    <w:multiLevelType w:val="hybridMultilevel"/>
    <w:tmpl w:val="D5106CD0"/>
    <w:lvl w:ilvl="0" w:tplc="04E40D4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47698"/>
    <w:multiLevelType w:val="hybridMultilevel"/>
    <w:tmpl w:val="DD06BFA0"/>
    <w:lvl w:ilvl="0" w:tplc="F5706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C139F7"/>
    <w:multiLevelType w:val="hybridMultilevel"/>
    <w:tmpl w:val="27381AEC"/>
    <w:lvl w:ilvl="0" w:tplc="7E84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AC4BE2"/>
    <w:multiLevelType w:val="hybridMultilevel"/>
    <w:tmpl w:val="AD54DAD0"/>
    <w:lvl w:ilvl="0" w:tplc="36CE023A">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D515815"/>
    <w:multiLevelType w:val="hybridMultilevel"/>
    <w:tmpl w:val="AD0ADDE4"/>
    <w:lvl w:ilvl="0" w:tplc="16CCD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8"/>
  </w:num>
  <w:num w:numId="3">
    <w:abstractNumId w:val="14"/>
  </w:num>
  <w:num w:numId="4">
    <w:abstractNumId w:val="3"/>
  </w:num>
  <w:num w:numId="5">
    <w:abstractNumId w:val="2"/>
  </w:num>
  <w:num w:numId="6">
    <w:abstractNumId w:val="7"/>
  </w:num>
  <w:num w:numId="7">
    <w:abstractNumId w:val="12"/>
  </w:num>
  <w:num w:numId="8">
    <w:abstractNumId w:val="29"/>
  </w:num>
  <w:num w:numId="9">
    <w:abstractNumId w:val="20"/>
  </w:num>
  <w:num w:numId="10">
    <w:abstractNumId w:val="17"/>
  </w:num>
  <w:num w:numId="11">
    <w:abstractNumId w:val="26"/>
  </w:num>
  <w:num w:numId="12">
    <w:abstractNumId w:val="13"/>
  </w:num>
  <w:num w:numId="13">
    <w:abstractNumId w:val="6"/>
  </w:num>
  <w:num w:numId="14">
    <w:abstractNumId w:val="4"/>
  </w:num>
  <w:num w:numId="15">
    <w:abstractNumId w:val="19"/>
  </w:num>
  <w:num w:numId="16">
    <w:abstractNumId w:val="15"/>
  </w:num>
  <w:num w:numId="17">
    <w:abstractNumId w:val="5"/>
  </w:num>
  <w:num w:numId="18">
    <w:abstractNumId w:val="16"/>
  </w:num>
  <w:num w:numId="19">
    <w:abstractNumId w:val="27"/>
  </w:num>
  <w:num w:numId="20">
    <w:abstractNumId w:val="10"/>
  </w:num>
  <w:num w:numId="21">
    <w:abstractNumId w:val="11"/>
  </w:num>
  <w:num w:numId="22">
    <w:abstractNumId w:val="9"/>
  </w:num>
  <w:num w:numId="23">
    <w:abstractNumId w:val="1"/>
  </w:num>
  <w:num w:numId="24">
    <w:abstractNumId w:val="0"/>
  </w:num>
  <w:num w:numId="25">
    <w:abstractNumId w:val="18"/>
  </w:num>
  <w:num w:numId="26">
    <w:abstractNumId w:val="22"/>
  </w:num>
  <w:num w:numId="27">
    <w:abstractNumId w:val="21"/>
  </w:num>
  <w:num w:numId="28">
    <w:abstractNumId w:val="25"/>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rawingGridVerticalSpacing w:val="18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PIMA"/>
    <w:docVar w:name="FirmInFtr" w:val="0"/>
    <w:docVar w:name="FirmInSigBlkStyle" w:val="0"/>
    <w:docVar w:name="FirstLineNum" w:val="1"/>
    <w:docVar w:name="FirstPleadingLine" w:val="1"/>
    <w:docVar w:name="Font" w:val="Times New Roman"/>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0"/>
  </w:docVars>
  <w:rsids>
    <w:rsidRoot w:val="00345389"/>
    <w:rsid w:val="000029DD"/>
    <w:rsid w:val="00007489"/>
    <w:rsid w:val="00011786"/>
    <w:rsid w:val="000170CA"/>
    <w:rsid w:val="000179EF"/>
    <w:rsid w:val="00021026"/>
    <w:rsid w:val="00021A4D"/>
    <w:rsid w:val="00022A34"/>
    <w:rsid w:val="00022F79"/>
    <w:rsid w:val="00023735"/>
    <w:rsid w:val="000243AE"/>
    <w:rsid w:val="000335F7"/>
    <w:rsid w:val="000366AE"/>
    <w:rsid w:val="00044D39"/>
    <w:rsid w:val="00046BB7"/>
    <w:rsid w:val="00046C0F"/>
    <w:rsid w:val="000574D4"/>
    <w:rsid w:val="00060B12"/>
    <w:rsid w:val="000614DC"/>
    <w:rsid w:val="00062617"/>
    <w:rsid w:val="00066DAD"/>
    <w:rsid w:val="00072809"/>
    <w:rsid w:val="000735D9"/>
    <w:rsid w:val="0007383A"/>
    <w:rsid w:val="00076EDA"/>
    <w:rsid w:val="00084ACF"/>
    <w:rsid w:val="000869FA"/>
    <w:rsid w:val="000918BE"/>
    <w:rsid w:val="000929EA"/>
    <w:rsid w:val="0009472A"/>
    <w:rsid w:val="00094ABB"/>
    <w:rsid w:val="000A0399"/>
    <w:rsid w:val="000A36A6"/>
    <w:rsid w:val="000A3AE4"/>
    <w:rsid w:val="000A43D9"/>
    <w:rsid w:val="000A4AC9"/>
    <w:rsid w:val="000A4BAD"/>
    <w:rsid w:val="000A61EE"/>
    <w:rsid w:val="000A78E5"/>
    <w:rsid w:val="000A7F2A"/>
    <w:rsid w:val="000B3480"/>
    <w:rsid w:val="000B55D6"/>
    <w:rsid w:val="000C6FF8"/>
    <w:rsid w:val="000C7893"/>
    <w:rsid w:val="000C79EB"/>
    <w:rsid w:val="000D0B7B"/>
    <w:rsid w:val="000D1C77"/>
    <w:rsid w:val="000D3341"/>
    <w:rsid w:val="000D502E"/>
    <w:rsid w:val="000D7507"/>
    <w:rsid w:val="000E1B7D"/>
    <w:rsid w:val="000E43C5"/>
    <w:rsid w:val="000E441F"/>
    <w:rsid w:val="000E5CBD"/>
    <w:rsid w:val="000F7E23"/>
    <w:rsid w:val="0010238C"/>
    <w:rsid w:val="00103ABF"/>
    <w:rsid w:val="00106455"/>
    <w:rsid w:val="00107E4F"/>
    <w:rsid w:val="001113D9"/>
    <w:rsid w:val="001120B0"/>
    <w:rsid w:val="00115179"/>
    <w:rsid w:val="00115C05"/>
    <w:rsid w:val="00125D8C"/>
    <w:rsid w:val="00130991"/>
    <w:rsid w:val="00134886"/>
    <w:rsid w:val="00134969"/>
    <w:rsid w:val="0013704F"/>
    <w:rsid w:val="00141156"/>
    <w:rsid w:val="001422D9"/>
    <w:rsid w:val="00143375"/>
    <w:rsid w:val="001435EF"/>
    <w:rsid w:val="001463FB"/>
    <w:rsid w:val="00157A81"/>
    <w:rsid w:val="00157E57"/>
    <w:rsid w:val="00163B32"/>
    <w:rsid w:val="00176584"/>
    <w:rsid w:val="00176CFC"/>
    <w:rsid w:val="00183ECA"/>
    <w:rsid w:val="001840CE"/>
    <w:rsid w:val="0018586A"/>
    <w:rsid w:val="00193261"/>
    <w:rsid w:val="00195FC9"/>
    <w:rsid w:val="001A0505"/>
    <w:rsid w:val="001A2AD6"/>
    <w:rsid w:val="001A3A85"/>
    <w:rsid w:val="001A40CB"/>
    <w:rsid w:val="001A5EFA"/>
    <w:rsid w:val="001A62E1"/>
    <w:rsid w:val="001B1980"/>
    <w:rsid w:val="001B2263"/>
    <w:rsid w:val="001B2FC5"/>
    <w:rsid w:val="001B453F"/>
    <w:rsid w:val="001B5516"/>
    <w:rsid w:val="001B6EDF"/>
    <w:rsid w:val="001C19ED"/>
    <w:rsid w:val="001C1CF4"/>
    <w:rsid w:val="001C20FD"/>
    <w:rsid w:val="001C5321"/>
    <w:rsid w:val="001C5A4C"/>
    <w:rsid w:val="001C77DB"/>
    <w:rsid w:val="001C7C0D"/>
    <w:rsid w:val="001D1B1C"/>
    <w:rsid w:val="001E1528"/>
    <w:rsid w:val="001E1ABE"/>
    <w:rsid w:val="001E27BA"/>
    <w:rsid w:val="001E33CF"/>
    <w:rsid w:val="001E5475"/>
    <w:rsid w:val="001E7261"/>
    <w:rsid w:val="001F2146"/>
    <w:rsid w:val="001F3038"/>
    <w:rsid w:val="001F399A"/>
    <w:rsid w:val="001F3EF0"/>
    <w:rsid w:val="0020263A"/>
    <w:rsid w:val="0021249E"/>
    <w:rsid w:val="00213A14"/>
    <w:rsid w:val="00215770"/>
    <w:rsid w:val="00216A64"/>
    <w:rsid w:val="00222A5D"/>
    <w:rsid w:val="002230BA"/>
    <w:rsid w:val="00227DF4"/>
    <w:rsid w:val="00230F0F"/>
    <w:rsid w:val="00234EB0"/>
    <w:rsid w:val="002354F2"/>
    <w:rsid w:val="00236264"/>
    <w:rsid w:val="00236448"/>
    <w:rsid w:val="002364F6"/>
    <w:rsid w:val="00236899"/>
    <w:rsid w:val="00242845"/>
    <w:rsid w:val="00245BBD"/>
    <w:rsid w:val="00247B4D"/>
    <w:rsid w:val="002504D2"/>
    <w:rsid w:val="002505C0"/>
    <w:rsid w:val="00255DED"/>
    <w:rsid w:val="00255FD1"/>
    <w:rsid w:val="002602FE"/>
    <w:rsid w:val="00260A23"/>
    <w:rsid w:val="00270A9B"/>
    <w:rsid w:val="00272BD5"/>
    <w:rsid w:val="00274719"/>
    <w:rsid w:val="00280B9F"/>
    <w:rsid w:val="002829DA"/>
    <w:rsid w:val="002829DB"/>
    <w:rsid w:val="00290DD5"/>
    <w:rsid w:val="002953CA"/>
    <w:rsid w:val="002A1F55"/>
    <w:rsid w:val="002A6221"/>
    <w:rsid w:val="002B3716"/>
    <w:rsid w:val="002B6337"/>
    <w:rsid w:val="002C396B"/>
    <w:rsid w:val="002C5194"/>
    <w:rsid w:val="002D1E12"/>
    <w:rsid w:val="002D1EFA"/>
    <w:rsid w:val="002E3F99"/>
    <w:rsid w:val="002E6296"/>
    <w:rsid w:val="002F37D0"/>
    <w:rsid w:val="002F7123"/>
    <w:rsid w:val="002F744A"/>
    <w:rsid w:val="00305FB0"/>
    <w:rsid w:val="0031571F"/>
    <w:rsid w:val="00315B7A"/>
    <w:rsid w:val="00321173"/>
    <w:rsid w:val="00322695"/>
    <w:rsid w:val="00322B10"/>
    <w:rsid w:val="00322C46"/>
    <w:rsid w:val="00322FB4"/>
    <w:rsid w:val="00332552"/>
    <w:rsid w:val="00333217"/>
    <w:rsid w:val="00345389"/>
    <w:rsid w:val="003504D2"/>
    <w:rsid w:val="003519D6"/>
    <w:rsid w:val="00362971"/>
    <w:rsid w:val="00362ED6"/>
    <w:rsid w:val="00365FBA"/>
    <w:rsid w:val="00374AC1"/>
    <w:rsid w:val="00381546"/>
    <w:rsid w:val="00383BB9"/>
    <w:rsid w:val="00387C5D"/>
    <w:rsid w:val="00390353"/>
    <w:rsid w:val="0039061B"/>
    <w:rsid w:val="00390B0A"/>
    <w:rsid w:val="003925D8"/>
    <w:rsid w:val="003938D0"/>
    <w:rsid w:val="003A0D74"/>
    <w:rsid w:val="003A538C"/>
    <w:rsid w:val="003B07E8"/>
    <w:rsid w:val="003B0C7E"/>
    <w:rsid w:val="003B17E1"/>
    <w:rsid w:val="003B32D5"/>
    <w:rsid w:val="003C3551"/>
    <w:rsid w:val="003C4800"/>
    <w:rsid w:val="003D13AB"/>
    <w:rsid w:val="003D3763"/>
    <w:rsid w:val="003D3F49"/>
    <w:rsid w:val="003D4288"/>
    <w:rsid w:val="003D4939"/>
    <w:rsid w:val="003E027F"/>
    <w:rsid w:val="003E25EE"/>
    <w:rsid w:val="003E73CE"/>
    <w:rsid w:val="003F0C2A"/>
    <w:rsid w:val="003F1DF7"/>
    <w:rsid w:val="00402ACD"/>
    <w:rsid w:val="00406E81"/>
    <w:rsid w:val="00412270"/>
    <w:rsid w:val="0041554B"/>
    <w:rsid w:val="004206A7"/>
    <w:rsid w:val="00424B1D"/>
    <w:rsid w:val="00434148"/>
    <w:rsid w:val="00434A84"/>
    <w:rsid w:val="00435B20"/>
    <w:rsid w:val="00442860"/>
    <w:rsid w:val="004453DE"/>
    <w:rsid w:val="004459A2"/>
    <w:rsid w:val="0044610D"/>
    <w:rsid w:val="00451237"/>
    <w:rsid w:val="00452E75"/>
    <w:rsid w:val="00454D4F"/>
    <w:rsid w:val="004574BB"/>
    <w:rsid w:val="00461A2F"/>
    <w:rsid w:val="004628F9"/>
    <w:rsid w:val="00466F0E"/>
    <w:rsid w:val="00471FA6"/>
    <w:rsid w:val="004812D2"/>
    <w:rsid w:val="00481DA1"/>
    <w:rsid w:val="0049624E"/>
    <w:rsid w:val="004A1385"/>
    <w:rsid w:val="004A3FA4"/>
    <w:rsid w:val="004A5B83"/>
    <w:rsid w:val="004A5F07"/>
    <w:rsid w:val="004A6503"/>
    <w:rsid w:val="004B44DB"/>
    <w:rsid w:val="004B52D7"/>
    <w:rsid w:val="004C0BB6"/>
    <w:rsid w:val="004C2142"/>
    <w:rsid w:val="004C23D6"/>
    <w:rsid w:val="004C332A"/>
    <w:rsid w:val="004C633C"/>
    <w:rsid w:val="004C6BC2"/>
    <w:rsid w:val="004D2716"/>
    <w:rsid w:val="004D5ADB"/>
    <w:rsid w:val="004E03A9"/>
    <w:rsid w:val="004E03DC"/>
    <w:rsid w:val="004E07B1"/>
    <w:rsid w:val="004E585A"/>
    <w:rsid w:val="004E6C80"/>
    <w:rsid w:val="004F293B"/>
    <w:rsid w:val="004F2A58"/>
    <w:rsid w:val="004F399D"/>
    <w:rsid w:val="004F6D7E"/>
    <w:rsid w:val="0050086F"/>
    <w:rsid w:val="0051085B"/>
    <w:rsid w:val="005108E1"/>
    <w:rsid w:val="005114FC"/>
    <w:rsid w:val="005137D6"/>
    <w:rsid w:val="005152EC"/>
    <w:rsid w:val="005153E5"/>
    <w:rsid w:val="00515C65"/>
    <w:rsid w:val="00520485"/>
    <w:rsid w:val="00524EBB"/>
    <w:rsid w:val="005263EE"/>
    <w:rsid w:val="005355A6"/>
    <w:rsid w:val="00540D1F"/>
    <w:rsid w:val="00541E1D"/>
    <w:rsid w:val="00541FD7"/>
    <w:rsid w:val="0054366D"/>
    <w:rsid w:val="00543E0B"/>
    <w:rsid w:val="00545ACB"/>
    <w:rsid w:val="005505BB"/>
    <w:rsid w:val="005508DE"/>
    <w:rsid w:val="00552E16"/>
    <w:rsid w:val="00554CC7"/>
    <w:rsid w:val="00563393"/>
    <w:rsid w:val="00563B50"/>
    <w:rsid w:val="0056588B"/>
    <w:rsid w:val="00565E2F"/>
    <w:rsid w:val="00571A3B"/>
    <w:rsid w:val="00572C7D"/>
    <w:rsid w:val="00586581"/>
    <w:rsid w:val="00586AEC"/>
    <w:rsid w:val="00590128"/>
    <w:rsid w:val="00591468"/>
    <w:rsid w:val="00592430"/>
    <w:rsid w:val="005A3089"/>
    <w:rsid w:val="005A4075"/>
    <w:rsid w:val="005A57F0"/>
    <w:rsid w:val="005B1C2E"/>
    <w:rsid w:val="005C07DD"/>
    <w:rsid w:val="005C4E11"/>
    <w:rsid w:val="005D251F"/>
    <w:rsid w:val="005D5AC3"/>
    <w:rsid w:val="005E1399"/>
    <w:rsid w:val="005E26F0"/>
    <w:rsid w:val="005E35F5"/>
    <w:rsid w:val="005E62EE"/>
    <w:rsid w:val="005E6415"/>
    <w:rsid w:val="005F0BE8"/>
    <w:rsid w:val="00604FF3"/>
    <w:rsid w:val="006078EC"/>
    <w:rsid w:val="00607F35"/>
    <w:rsid w:val="00611862"/>
    <w:rsid w:val="006123C1"/>
    <w:rsid w:val="0061335E"/>
    <w:rsid w:val="00631C89"/>
    <w:rsid w:val="0063512D"/>
    <w:rsid w:val="0063553B"/>
    <w:rsid w:val="00637476"/>
    <w:rsid w:val="0064021A"/>
    <w:rsid w:val="00641961"/>
    <w:rsid w:val="006419AB"/>
    <w:rsid w:val="00643E90"/>
    <w:rsid w:val="0064441C"/>
    <w:rsid w:val="00650E80"/>
    <w:rsid w:val="00650FA0"/>
    <w:rsid w:val="00651741"/>
    <w:rsid w:val="0065428D"/>
    <w:rsid w:val="00654391"/>
    <w:rsid w:val="00655E0D"/>
    <w:rsid w:val="006575C7"/>
    <w:rsid w:val="00662B7F"/>
    <w:rsid w:val="00663CBB"/>
    <w:rsid w:val="00664E21"/>
    <w:rsid w:val="00665EC0"/>
    <w:rsid w:val="006739F3"/>
    <w:rsid w:val="00675290"/>
    <w:rsid w:val="00682966"/>
    <w:rsid w:val="0068404C"/>
    <w:rsid w:val="006869DC"/>
    <w:rsid w:val="00692292"/>
    <w:rsid w:val="006A015E"/>
    <w:rsid w:val="006A3D24"/>
    <w:rsid w:val="006A48AB"/>
    <w:rsid w:val="006A55B4"/>
    <w:rsid w:val="006B077D"/>
    <w:rsid w:val="006B0F5B"/>
    <w:rsid w:val="006B3E72"/>
    <w:rsid w:val="006B5D52"/>
    <w:rsid w:val="006B6C6C"/>
    <w:rsid w:val="006C2845"/>
    <w:rsid w:val="006C43D4"/>
    <w:rsid w:val="006C5F12"/>
    <w:rsid w:val="006D03E5"/>
    <w:rsid w:val="006D1F5D"/>
    <w:rsid w:val="006D299D"/>
    <w:rsid w:val="006D3192"/>
    <w:rsid w:val="006D436F"/>
    <w:rsid w:val="006D559F"/>
    <w:rsid w:val="006E1441"/>
    <w:rsid w:val="006E4AAF"/>
    <w:rsid w:val="006E7045"/>
    <w:rsid w:val="006F28A0"/>
    <w:rsid w:val="00701B81"/>
    <w:rsid w:val="0070298A"/>
    <w:rsid w:val="007066DD"/>
    <w:rsid w:val="00710477"/>
    <w:rsid w:val="00712B2B"/>
    <w:rsid w:val="007163F3"/>
    <w:rsid w:val="007213AF"/>
    <w:rsid w:val="00721E46"/>
    <w:rsid w:val="00721FE4"/>
    <w:rsid w:val="00724B6E"/>
    <w:rsid w:val="00724EAE"/>
    <w:rsid w:val="00741B85"/>
    <w:rsid w:val="007424B8"/>
    <w:rsid w:val="00742EA8"/>
    <w:rsid w:val="00743B40"/>
    <w:rsid w:val="007440D1"/>
    <w:rsid w:val="0074507E"/>
    <w:rsid w:val="00750C65"/>
    <w:rsid w:val="00751DB7"/>
    <w:rsid w:val="007554B1"/>
    <w:rsid w:val="00760674"/>
    <w:rsid w:val="007730CC"/>
    <w:rsid w:val="007755B8"/>
    <w:rsid w:val="007756D3"/>
    <w:rsid w:val="0077745B"/>
    <w:rsid w:val="00783876"/>
    <w:rsid w:val="00783EAE"/>
    <w:rsid w:val="00786CCE"/>
    <w:rsid w:val="00787081"/>
    <w:rsid w:val="007919E3"/>
    <w:rsid w:val="007A18E2"/>
    <w:rsid w:val="007A54A8"/>
    <w:rsid w:val="007B0302"/>
    <w:rsid w:val="007B4AB7"/>
    <w:rsid w:val="007B5715"/>
    <w:rsid w:val="007B7603"/>
    <w:rsid w:val="007C1D50"/>
    <w:rsid w:val="007C4651"/>
    <w:rsid w:val="007C61A4"/>
    <w:rsid w:val="007C7BC5"/>
    <w:rsid w:val="007D2A63"/>
    <w:rsid w:val="007E3AF7"/>
    <w:rsid w:val="007E6280"/>
    <w:rsid w:val="007F0680"/>
    <w:rsid w:val="007F5BA1"/>
    <w:rsid w:val="007F5D22"/>
    <w:rsid w:val="007F6F02"/>
    <w:rsid w:val="007F77D0"/>
    <w:rsid w:val="00800A55"/>
    <w:rsid w:val="0080511F"/>
    <w:rsid w:val="00805699"/>
    <w:rsid w:val="00805F50"/>
    <w:rsid w:val="00810731"/>
    <w:rsid w:val="0081141A"/>
    <w:rsid w:val="00816ACA"/>
    <w:rsid w:val="00817421"/>
    <w:rsid w:val="00820B0C"/>
    <w:rsid w:val="0082756E"/>
    <w:rsid w:val="008314BB"/>
    <w:rsid w:val="00832F1F"/>
    <w:rsid w:val="00833D58"/>
    <w:rsid w:val="008402F9"/>
    <w:rsid w:val="00840548"/>
    <w:rsid w:val="008478EB"/>
    <w:rsid w:val="00850C39"/>
    <w:rsid w:val="00851B2C"/>
    <w:rsid w:val="00853395"/>
    <w:rsid w:val="008558BD"/>
    <w:rsid w:val="00855FCE"/>
    <w:rsid w:val="00874FA0"/>
    <w:rsid w:val="008752EC"/>
    <w:rsid w:val="008763BB"/>
    <w:rsid w:val="00883DAF"/>
    <w:rsid w:val="00883FEA"/>
    <w:rsid w:val="0088607C"/>
    <w:rsid w:val="00887DE4"/>
    <w:rsid w:val="00892462"/>
    <w:rsid w:val="00893369"/>
    <w:rsid w:val="008A0D4A"/>
    <w:rsid w:val="008A3442"/>
    <w:rsid w:val="008A421A"/>
    <w:rsid w:val="008B4739"/>
    <w:rsid w:val="008B7824"/>
    <w:rsid w:val="008C3C0C"/>
    <w:rsid w:val="008C414B"/>
    <w:rsid w:val="008C5E8B"/>
    <w:rsid w:val="008D20F1"/>
    <w:rsid w:val="008D269B"/>
    <w:rsid w:val="008D6095"/>
    <w:rsid w:val="008D612B"/>
    <w:rsid w:val="008E0980"/>
    <w:rsid w:val="008E18E4"/>
    <w:rsid w:val="008E1E64"/>
    <w:rsid w:val="008E45D5"/>
    <w:rsid w:val="008E4ED1"/>
    <w:rsid w:val="008E59B6"/>
    <w:rsid w:val="008F1605"/>
    <w:rsid w:val="008F1843"/>
    <w:rsid w:val="0090001C"/>
    <w:rsid w:val="00901038"/>
    <w:rsid w:val="009018B1"/>
    <w:rsid w:val="00902572"/>
    <w:rsid w:val="00907F7B"/>
    <w:rsid w:val="009123AE"/>
    <w:rsid w:val="00914D20"/>
    <w:rsid w:val="00915384"/>
    <w:rsid w:val="009251AE"/>
    <w:rsid w:val="00933DD1"/>
    <w:rsid w:val="00935DC9"/>
    <w:rsid w:val="00940E97"/>
    <w:rsid w:val="0094122A"/>
    <w:rsid w:val="00947A56"/>
    <w:rsid w:val="00950D11"/>
    <w:rsid w:val="00950D65"/>
    <w:rsid w:val="00954AEA"/>
    <w:rsid w:val="009552A9"/>
    <w:rsid w:val="00962E9E"/>
    <w:rsid w:val="00965C61"/>
    <w:rsid w:val="0097044D"/>
    <w:rsid w:val="00970FF2"/>
    <w:rsid w:val="00973F78"/>
    <w:rsid w:val="00975B3E"/>
    <w:rsid w:val="00977335"/>
    <w:rsid w:val="009803C9"/>
    <w:rsid w:val="0098167D"/>
    <w:rsid w:val="0098439A"/>
    <w:rsid w:val="009867D3"/>
    <w:rsid w:val="00990D79"/>
    <w:rsid w:val="00993A0F"/>
    <w:rsid w:val="0099667A"/>
    <w:rsid w:val="009A6454"/>
    <w:rsid w:val="009A6AFA"/>
    <w:rsid w:val="009B3B8A"/>
    <w:rsid w:val="009B598E"/>
    <w:rsid w:val="009C4235"/>
    <w:rsid w:val="009C44E3"/>
    <w:rsid w:val="009C465B"/>
    <w:rsid w:val="009C5286"/>
    <w:rsid w:val="009C5E58"/>
    <w:rsid w:val="009C68DD"/>
    <w:rsid w:val="009D167F"/>
    <w:rsid w:val="009D6453"/>
    <w:rsid w:val="009D6CAB"/>
    <w:rsid w:val="009E2DA0"/>
    <w:rsid w:val="009F0F92"/>
    <w:rsid w:val="00A04109"/>
    <w:rsid w:val="00A04C82"/>
    <w:rsid w:val="00A07E67"/>
    <w:rsid w:val="00A12A5F"/>
    <w:rsid w:val="00A13068"/>
    <w:rsid w:val="00A20800"/>
    <w:rsid w:val="00A22EBC"/>
    <w:rsid w:val="00A237A2"/>
    <w:rsid w:val="00A25232"/>
    <w:rsid w:val="00A259B4"/>
    <w:rsid w:val="00A25CCC"/>
    <w:rsid w:val="00A30528"/>
    <w:rsid w:val="00A31191"/>
    <w:rsid w:val="00A3128D"/>
    <w:rsid w:val="00A35B93"/>
    <w:rsid w:val="00A41A64"/>
    <w:rsid w:val="00A4266A"/>
    <w:rsid w:val="00A43050"/>
    <w:rsid w:val="00A51997"/>
    <w:rsid w:val="00A529B6"/>
    <w:rsid w:val="00A5354F"/>
    <w:rsid w:val="00A537C3"/>
    <w:rsid w:val="00A542A7"/>
    <w:rsid w:val="00A652BC"/>
    <w:rsid w:val="00A65608"/>
    <w:rsid w:val="00A712E8"/>
    <w:rsid w:val="00A71EA4"/>
    <w:rsid w:val="00A81F6A"/>
    <w:rsid w:val="00A84534"/>
    <w:rsid w:val="00A85EB5"/>
    <w:rsid w:val="00A86674"/>
    <w:rsid w:val="00A9091F"/>
    <w:rsid w:val="00A924BD"/>
    <w:rsid w:val="00A94E97"/>
    <w:rsid w:val="00AA03B8"/>
    <w:rsid w:val="00AA4CBC"/>
    <w:rsid w:val="00AA67B5"/>
    <w:rsid w:val="00AA7E5B"/>
    <w:rsid w:val="00AB7B9D"/>
    <w:rsid w:val="00AC2E14"/>
    <w:rsid w:val="00AD269F"/>
    <w:rsid w:val="00AD2ED6"/>
    <w:rsid w:val="00AD64E8"/>
    <w:rsid w:val="00AD68B7"/>
    <w:rsid w:val="00AD6B9D"/>
    <w:rsid w:val="00AE2C75"/>
    <w:rsid w:val="00AE3198"/>
    <w:rsid w:val="00AF3311"/>
    <w:rsid w:val="00AF7D1E"/>
    <w:rsid w:val="00B0035C"/>
    <w:rsid w:val="00B00879"/>
    <w:rsid w:val="00B01ABD"/>
    <w:rsid w:val="00B03D5E"/>
    <w:rsid w:val="00B1569B"/>
    <w:rsid w:val="00B22A83"/>
    <w:rsid w:val="00B23E09"/>
    <w:rsid w:val="00B24C40"/>
    <w:rsid w:val="00B268CD"/>
    <w:rsid w:val="00B2772A"/>
    <w:rsid w:val="00B30BF9"/>
    <w:rsid w:val="00B32629"/>
    <w:rsid w:val="00B335FA"/>
    <w:rsid w:val="00B36F28"/>
    <w:rsid w:val="00B42480"/>
    <w:rsid w:val="00B4361F"/>
    <w:rsid w:val="00B4632F"/>
    <w:rsid w:val="00B52B62"/>
    <w:rsid w:val="00B6074F"/>
    <w:rsid w:val="00B64B42"/>
    <w:rsid w:val="00B667DC"/>
    <w:rsid w:val="00B70DFB"/>
    <w:rsid w:val="00B73BA9"/>
    <w:rsid w:val="00B741C5"/>
    <w:rsid w:val="00B80971"/>
    <w:rsid w:val="00B82B29"/>
    <w:rsid w:val="00B83C44"/>
    <w:rsid w:val="00B9444E"/>
    <w:rsid w:val="00B947EB"/>
    <w:rsid w:val="00B94E02"/>
    <w:rsid w:val="00B967FB"/>
    <w:rsid w:val="00BA0669"/>
    <w:rsid w:val="00BA0D21"/>
    <w:rsid w:val="00BA2E06"/>
    <w:rsid w:val="00BA3DCB"/>
    <w:rsid w:val="00BA79C9"/>
    <w:rsid w:val="00BB3261"/>
    <w:rsid w:val="00BB6281"/>
    <w:rsid w:val="00BC58DB"/>
    <w:rsid w:val="00BD3159"/>
    <w:rsid w:val="00BD5C56"/>
    <w:rsid w:val="00BD68F0"/>
    <w:rsid w:val="00BE19EF"/>
    <w:rsid w:val="00BE30BE"/>
    <w:rsid w:val="00BE36B4"/>
    <w:rsid w:val="00BE4228"/>
    <w:rsid w:val="00BE6F0F"/>
    <w:rsid w:val="00BF17B7"/>
    <w:rsid w:val="00BF26D0"/>
    <w:rsid w:val="00BF3F21"/>
    <w:rsid w:val="00BF4BD5"/>
    <w:rsid w:val="00C01C11"/>
    <w:rsid w:val="00C07A37"/>
    <w:rsid w:val="00C111C6"/>
    <w:rsid w:val="00C11361"/>
    <w:rsid w:val="00C12ABD"/>
    <w:rsid w:val="00C2614C"/>
    <w:rsid w:val="00C337DA"/>
    <w:rsid w:val="00C34187"/>
    <w:rsid w:val="00C35473"/>
    <w:rsid w:val="00C4066F"/>
    <w:rsid w:val="00C44844"/>
    <w:rsid w:val="00C46F30"/>
    <w:rsid w:val="00C51401"/>
    <w:rsid w:val="00C52C1F"/>
    <w:rsid w:val="00C5527F"/>
    <w:rsid w:val="00C57B14"/>
    <w:rsid w:val="00C64377"/>
    <w:rsid w:val="00C653E0"/>
    <w:rsid w:val="00C67079"/>
    <w:rsid w:val="00C678EB"/>
    <w:rsid w:val="00C70AA2"/>
    <w:rsid w:val="00C746DD"/>
    <w:rsid w:val="00C75654"/>
    <w:rsid w:val="00C80E17"/>
    <w:rsid w:val="00C82432"/>
    <w:rsid w:val="00C82B3C"/>
    <w:rsid w:val="00C82FC2"/>
    <w:rsid w:val="00C86381"/>
    <w:rsid w:val="00C86E12"/>
    <w:rsid w:val="00C87089"/>
    <w:rsid w:val="00C9234D"/>
    <w:rsid w:val="00CA5EB2"/>
    <w:rsid w:val="00CB0183"/>
    <w:rsid w:val="00CB127A"/>
    <w:rsid w:val="00CB32A3"/>
    <w:rsid w:val="00CB56D3"/>
    <w:rsid w:val="00CB64C3"/>
    <w:rsid w:val="00CB7073"/>
    <w:rsid w:val="00CC058E"/>
    <w:rsid w:val="00CC4FDB"/>
    <w:rsid w:val="00CC7C95"/>
    <w:rsid w:val="00CC7E24"/>
    <w:rsid w:val="00CD088D"/>
    <w:rsid w:val="00CD3828"/>
    <w:rsid w:val="00CE11CA"/>
    <w:rsid w:val="00CE5D07"/>
    <w:rsid w:val="00CF241C"/>
    <w:rsid w:val="00CF32E8"/>
    <w:rsid w:val="00CF398A"/>
    <w:rsid w:val="00CF5D46"/>
    <w:rsid w:val="00CF60D3"/>
    <w:rsid w:val="00CF6CCC"/>
    <w:rsid w:val="00CF723B"/>
    <w:rsid w:val="00D07FE6"/>
    <w:rsid w:val="00D12E4B"/>
    <w:rsid w:val="00D142B3"/>
    <w:rsid w:val="00D25C19"/>
    <w:rsid w:val="00D27FBE"/>
    <w:rsid w:val="00D3166F"/>
    <w:rsid w:val="00D31B48"/>
    <w:rsid w:val="00D32F46"/>
    <w:rsid w:val="00D42DF2"/>
    <w:rsid w:val="00D433EB"/>
    <w:rsid w:val="00D46C7C"/>
    <w:rsid w:val="00D472C6"/>
    <w:rsid w:val="00D47723"/>
    <w:rsid w:val="00D51D12"/>
    <w:rsid w:val="00D57093"/>
    <w:rsid w:val="00D66C4A"/>
    <w:rsid w:val="00D70C08"/>
    <w:rsid w:val="00D72AEE"/>
    <w:rsid w:val="00D73BAF"/>
    <w:rsid w:val="00D7643A"/>
    <w:rsid w:val="00D767E0"/>
    <w:rsid w:val="00D82B3B"/>
    <w:rsid w:val="00D82C94"/>
    <w:rsid w:val="00D82E49"/>
    <w:rsid w:val="00D8368D"/>
    <w:rsid w:val="00D925D3"/>
    <w:rsid w:val="00D9352B"/>
    <w:rsid w:val="00D97C57"/>
    <w:rsid w:val="00DA0E34"/>
    <w:rsid w:val="00DA4BDE"/>
    <w:rsid w:val="00DA567F"/>
    <w:rsid w:val="00DA615F"/>
    <w:rsid w:val="00DA67AB"/>
    <w:rsid w:val="00DB0FDE"/>
    <w:rsid w:val="00DC29C1"/>
    <w:rsid w:val="00DC5B4C"/>
    <w:rsid w:val="00DC675F"/>
    <w:rsid w:val="00DC70BA"/>
    <w:rsid w:val="00DD20A2"/>
    <w:rsid w:val="00DD428E"/>
    <w:rsid w:val="00DE0A63"/>
    <w:rsid w:val="00DF37AA"/>
    <w:rsid w:val="00DF55EA"/>
    <w:rsid w:val="00E0488C"/>
    <w:rsid w:val="00E13788"/>
    <w:rsid w:val="00E150D4"/>
    <w:rsid w:val="00E245D2"/>
    <w:rsid w:val="00E265FC"/>
    <w:rsid w:val="00E27D14"/>
    <w:rsid w:val="00E34C90"/>
    <w:rsid w:val="00E42C55"/>
    <w:rsid w:val="00E43629"/>
    <w:rsid w:val="00E476D1"/>
    <w:rsid w:val="00E537AB"/>
    <w:rsid w:val="00E619F9"/>
    <w:rsid w:val="00E62C51"/>
    <w:rsid w:val="00E657C3"/>
    <w:rsid w:val="00E73A5E"/>
    <w:rsid w:val="00E81AF6"/>
    <w:rsid w:val="00E81F16"/>
    <w:rsid w:val="00E8651E"/>
    <w:rsid w:val="00E93844"/>
    <w:rsid w:val="00EA0449"/>
    <w:rsid w:val="00EA19CA"/>
    <w:rsid w:val="00EA298D"/>
    <w:rsid w:val="00EA3006"/>
    <w:rsid w:val="00EA324B"/>
    <w:rsid w:val="00EA3504"/>
    <w:rsid w:val="00EA51AB"/>
    <w:rsid w:val="00EA5376"/>
    <w:rsid w:val="00EA593F"/>
    <w:rsid w:val="00EA607C"/>
    <w:rsid w:val="00EA6961"/>
    <w:rsid w:val="00EB02E3"/>
    <w:rsid w:val="00EB71A3"/>
    <w:rsid w:val="00EB7FE9"/>
    <w:rsid w:val="00EC177C"/>
    <w:rsid w:val="00EC3BED"/>
    <w:rsid w:val="00EC47ED"/>
    <w:rsid w:val="00EC5672"/>
    <w:rsid w:val="00EC6C93"/>
    <w:rsid w:val="00ED0F6B"/>
    <w:rsid w:val="00ED4274"/>
    <w:rsid w:val="00EE3391"/>
    <w:rsid w:val="00EE385A"/>
    <w:rsid w:val="00EE3941"/>
    <w:rsid w:val="00EE3F8B"/>
    <w:rsid w:val="00EE4828"/>
    <w:rsid w:val="00EE5DE6"/>
    <w:rsid w:val="00EF5174"/>
    <w:rsid w:val="00EF6322"/>
    <w:rsid w:val="00F01CE8"/>
    <w:rsid w:val="00F0217F"/>
    <w:rsid w:val="00F026AC"/>
    <w:rsid w:val="00F13971"/>
    <w:rsid w:val="00F15F84"/>
    <w:rsid w:val="00F17691"/>
    <w:rsid w:val="00F20BC6"/>
    <w:rsid w:val="00F21C51"/>
    <w:rsid w:val="00F22753"/>
    <w:rsid w:val="00F25182"/>
    <w:rsid w:val="00F27006"/>
    <w:rsid w:val="00F341F7"/>
    <w:rsid w:val="00F35BF9"/>
    <w:rsid w:val="00F3792E"/>
    <w:rsid w:val="00F4403A"/>
    <w:rsid w:val="00F45C99"/>
    <w:rsid w:val="00F4742D"/>
    <w:rsid w:val="00F5584F"/>
    <w:rsid w:val="00F57633"/>
    <w:rsid w:val="00F611A1"/>
    <w:rsid w:val="00F625C1"/>
    <w:rsid w:val="00F67D6F"/>
    <w:rsid w:val="00F70326"/>
    <w:rsid w:val="00F70935"/>
    <w:rsid w:val="00F720C6"/>
    <w:rsid w:val="00F83F51"/>
    <w:rsid w:val="00F85E94"/>
    <w:rsid w:val="00F87367"/>
    <w:rsid w:val="00F939B6"/>
    <w:rsid w:val="00F950CB"/>
    <w:rsid w:val="00F97B88"/>
    <w:rsid w:val="00FA3B65"/>
    <w:rsid w:val="00FB01A0"/>
    <w:rsid w:val="00FB20F8"/>
    <w:rsid w:val="00FB2712"/>
    <w:rsid w:val="00FB2E70"/>
    <w:rsid w:val="00FB4F7B"/>
    <w:rsid w:val="00FB5414"/>
    <w:rsid w:val="00FB6A2F"/>
    <w:rsid w:val="00FB70E7"/>
    <w:rsid w:val="00FC0C49"/>
    <w:rsid w:val="00FC2B7E"/>
    <w:rsid w:val="00FC3649"/>
    <w:rsid w:val="00FD0488"/>
    <w:rsid w:val="00FD16C3"/>
    <w:rsid w:val="00FD2A80"/>
    <w:rsid w:val="00FD33F1"/>
    <w:rsid w:val="00FD3F49"/>
    <w:rsid w:val="00FD5D21"/>
    <w:rsid w:val="00FD78E9"/>
    <w:rsid w:val="00FE7F32"/>
    <w:rsid w:val="00FF4829"/>
    <w:rsid w:val="00FF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D31CFE"/>
  <w15:docId w15:val="{1D352F14-7B76-43A8-9618-0691563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semiHidden/>
    <w:unhideWhenUsed/>
    <w:rsid w:val="005E35F5"/>
    <w:pPr>
      <w:spacing w:line="240" w:lineRule="auto"/>
    </w:pPr>
    <w:rPr>
      <w:sz w:val="20"/>
    </w:rPr>
  </w:style>
  <w:style w:type="character" w:customStyle="1" w:styleId="FootnoteTextChar">
    <w:name w:val="Footnote Text Char"/>
    <w:basedOn w:val="DefaultParagraphFont"/>
    <w:link w:val="FootnoteText"/>
    <w:semiHidden/>
    <w:rsid w:val="005E35F5"/>
  </w:style>
  <w:style w:type="character" w:styleId="FootnoteReference">
    <w:name w:val="footnote reference"/>
    <w:basedOn w:val="DefaultParagraphFont"/>
    <w:semiHidden/>
    <w:unhideWhenUsed/>
    <w:rsid w:val="005E35F5"/>
    <w:rPr>
      <w:vertAlign w:val="superscript"/>
    </w:rPr>
  </w:style>
  <w:style w:type="paragraph" w:styleId="EndnoteText">
    <w:name w:val="endnote text"/>
    <w:basedOn w:val="Normal"/>
    <w:link w:val="EndnoteTextChar"/>
    <w:semiHidden/>
    <w:unhideWhenUsed/>
    <w:rsid w:val="00FE7F32"/>
    <w:pPr>
      <w:spacing w:line="240" w:lineRule="auto"/>
    </w:pPr>
    <w:rPr>
      <w:sz w:val="20"/>
    </w:rPr>
  </w:style>
  <w:style w:type="character" w:customStyle="1" w:styleId="EndnoteTextChar">
    <w:name w:val="Endnote Text Char"/>
    <w:basedOn w:val="DefaultParagraphFont"/>
    <w:link w:val="EndnoteText"/>
    <w:semiHidden/>
    <w:rsid w:val="00FE7F32"/>
  </w:style>
  <w:style w:type="character" w:styleId="EndnoteReference">
    <w:name w:val="endnote reference"/>
    <w:basedOn w:val="DefaultParagraphFont"/>
    <w:semiHidden/>
    <w:unhideWhenUsed/>
    <w:rsid w:val="00FE7F32"/>
    <w:rPr>
      <w:vertAlign w:val="superscript"/>
    </w:rPr>
  </w:style>
  <w:style w:type="character" w:styleId="UnresolvedMention">
    <w:name w:val="Unresolved Mention"/>
    <w:basedOn w:val="DefaultParagraphFont"/>
    <w:uiPriority w:val="99"/>
    <w:semiHidden/>
    <w:unhideWhenUsed/>
    <w:rsid w:val="00A43050"/>
    <w:rPr>
      <w:color w:val="605E5C"/>
      <w:shd w:val="clear" w:color="auto" w:fill="E1DFDD"/>
    </w:rPr>
  </w:style>
  <w:style w:type="character" w:styleId="FollowedHyperlink">
    <w:name w:val="FollowedHyperlink"/>
    <w:basedOn w:val="DefaultParagraphFont"/>
    <w:semiHidden/>
    <w:unhideWhenUsed/>
    <w:rsid w:val="00A430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46989">
      <w:bodyDiv w:val="1"/>
      <w:marLeft w:val="0"/>
      <w:marRight w:val="0"/>
      <w:marTop w:val="0"/>
      <w:marBottom w:val="0"/>
      <w:divBdr>
        <w:top w:val="none" w:sz="0" w:space="0" w:color="auto"/>
        <w:left w:val="none" w:sz="0" w:space="0" w:color="auto"/>
        <w:bottom w:val="none" w:sz="0" w:space="0" w:color="auto"/>
        <w:right w:val="none" w:sz="0" w:space="0" w:color="auto"/>
      </w:divBdr>
      <w:divsChild>
        <w:div w:id="8921541">
          <w:marLeft w:val="0"/>
          <w:marRight w:val="0"/>
          <w:marTop w:val="0"/>
          <w:marBottom w:val="0"/>
          <w:divBdr>
            <w:top w:val="none" w:sz="0" w:space="0" w:color="auto"/>
            <w:left w:val="single" w:sz="6" w:space="0" w:color="BBBBBB"/>
            <w:bottom w:val="single" w:sz="6" w:space="0" w:color="BBBBBB"/>
            <w:right w:val="single" w:sz="6" w:space="0" w:color="BBBBBB"/>
          </w:divBdr>
          <w:divsChild>
            <w:div w:id="1117601756">
              <w:marLeft w:val="0"/>
              <w:marRight w:val="0"/>
              <w:marTop w:val="0"/>
              <w:marBottom w:val="0"/>
              <w:divBdr>
                <w:top w:val="none" w:sz="0" w:space="0" w:color="auto"/>
                <w:left w:val="none" w:sz="0" w:space="0" w:color="auto"/>
                <w:bottom w:val="none" w:sz="0" w:space="0" w:color="auto"/>
                <w:right w:val="none" w:sz="0" w:space="0" w:color="auto"/>
              </w:divBdr>
              <w:divsChild>
                <w:div w:id="328489141">
                  <w:marLeft w:val="0"/>
                  <w:marRight w:val="0"/>
                  <w:marTop w:val="0"/>
                  <w:marBottom w:val="0"/>
                  <w:divBdr>
                    <w:top w:val="none" w:sz="0" w:space="0" w:color="auto"/>
                    <w:left w:val="none" w:sz="0" w:space="0" w:color="auto"/>
                    <w:bottom w:val="none" w:sz="0" w:space="0" w:color="auto"/>
                    <w:right w:val="none" w:sz="0" w:space="0" w:color="auto"/>
                  </w:divBdr>
                  <w:divsChild>
                    <w:div w:id="910694372">
                      <w:marLeft w:val="0"/>
                      <w:marRight w:val="0"/>
                      <w:marTop w:val="0"/>
                      <w:marBottom w:val="0"/>
                      <w:divBdr>
                        <w:top w:val="none" w:sz="0" w:space="0" w:color="auto"/>
                        <w:left w:val="none" w:sz="0" w:space="0" w:color="auto"/>
                        <w:bottom w:val="none" w:sz="0" w:space="0" w:color="auto"/>
                        <w:right w:val="none" w:sz="0" w:space="0" w:color="auto"/>
                      </w:divBdr>
                      <w:divsChild>
                        <w:div w:id="1467119088">
                          <w:marLeft w:val="0"/>
                          <w:marRight w:val="0"/>
                          <w:marTop w:val="0"/>
                          <w:marBottom w:val="0"/>
                          <w:divBdr>
                            <w:top w:val="none" w:sz="0" w:space="0" w:color="auto"/>
                            <w:left w:val="none" w:sz="0" w:space="0" w:color="auto"/>
                            <w:bottom w:val="none" w:sz="0" w:space="0" w:color="auto"/>
                            <w:right w:val="none" w:sz="0" w:space="0" w:color="auto"/>
                          </w:divBdr>
                          <w:divsChild>
                            <w:div w:id="516778224">
                              <w:marLeft w:val="0"/>
                              <w:marRight w:val="0"/>
                              <w:marTop w:val="0"/>
                              <w:marBottom w:val="0"/>
                              <w:divBdr>
                                <w:top w:val="none" w:sz="0" w:space="0" w:color="auto"/>
                                <w:left w:val="none" w:sz="0" w:space="0" w:color="auto"/>
                                <w:bottom w:val="none" w:sz="0" w:space="0" w:color="auto"/>
                                <w:right w:val="none" w:sz="0" w:space="0" w:color="auto"/>
                              </w:divBdr>
                              <w:divsChild>
                                <w:div w:id="99565677">
                                  <w:marLeft w:val="0"/>
                                  <w:marRight w:val="0"/>
                                  <w:marTop w:val="0"/>
                                  <w:marBottom w:val="0"/>
                                  <w:divBdr>
                                    <w:top w:val="none" w:sz="0" w:space="0" w:color="auto"/>
                                    <w:left w:val="none" w:sz="0" w:space="0" w:color="auto"/>
                                    <w:bottom w:val="none" w:sz="0" w:space="0" w:color="auto"/>
                                    <w:right w:val="none" w:sz="0" w:space="0" w:color="auto"/>
                                  </w:divBdr>
                                  <w:divsChild>
                                    <w:div w:id="880285084">
                                      <w:marLeft w:val="0"/>
                                      <w:marRight w:val="0"/>
                                      <w:marTop w:val="0"/>
                                      <w:marBottom w:val="0"/>
                                      <w:divBdr>
                                        <w:top w:val="none" w:sz="0" w:space="0" w:color="auto"/>
                                        <w:left w:val="none" w:sz="0" w:space="0" w:color="auto"/>
                                        <w:bottom w:val="none" w:sz="0" w:space="0" w:color="auto"/>
                                        <w:right w:val="none" w:sz="0" w:space="0" w:color="auto"/>
                                      </w:divBdr>
                                      <w:divsChild>
                                        <w:div w:id="901527100">
                                          <w:marLeft w:val="1200"/>
                                          <w:marRight w:val="1200"/>
                                          <w:marTop w:val="0"/>
                                          <w:marBottom w:val="0"/>
                                          <w:divBdr>
                                            <w:top w:val="none" w:sz="0" w:space="0" w:color="auto"/>
                                            <w:left w:val="none" w:sz="0" w:space="0" w:color="auto"/>
                                            <w:bottom w:val="none" w:sz="0" w:space="0" w:color="auto"/>
                                            <w:right w:val="none" w:sz="0" w:space="0" w:color="auto"/>
                                          </w:divBdr>
                                          <w:divsChild>
                                            <w:div w:id="631133111">
                                              <w:marLeft w:val="0"/>
                                              <w:marRight w:val="0"/>
                                              <w:marTop w:val="0"/>
                                              <w:marBottom w:val="0"/>
                                              <w:divBdr>
                                                <w:top w:val="none" w:sz="0" w:space="0" w:color="auto"/>
                                                <w:left w:val="none" w:sz="0" w:space="0" w:color="auto"/>
                                                <w:bottom w:val="none" w:sz="0" w:space="0" w:color="auto"/>
                                                <w:right w:val="none" w:sz="0" w:space="0" w:color="auto"/>
                                              </w:divBdr>
                                              <w:divsChild>
                                                <w:div w:id="1699812334">
                                                  <w:marLeft w:val="0"/>
                                                  <w:marRight w:val="0"/>
                                                  <w:marTop w:val="0"/>
                                                  <w:marBottom w:val="0"/>
                                                  <w:divBdr>
                                                    <w:top w:val="none" w:sz="0" w:space="0" w:color="auto"/>
                                                    <w:left w:val="none" w:sz="0" w:space="0" w:color="auto"/>
                                                    <w:bottom w:val="none" w:sz="0" w:space="0" w:color="auto"/>
                                                    <w:right w:val="none" w:sz="0" w:space="0" w:color="auto"/>
                                                  </w:divBdr>
                                                  <w:divsChild>
                                                    <w:div w:id="1907062715">
                                                      <w:marLeft w:val="0"/>
                                                      <w:marRight w:val="0"/>
                                                      <w:marTop w:val="0"/>
                                                      <w:marBottom w:val="0"/>
                                                      <w:divBdr>
                                                        <w:top w:val="none" w:sz="0" w:space="0" w:color="auto"/>
                                                        <w:left w:val="none" w:sz="0" w:space="0" w:color="auto"/>
                                                        <w:bottom w:val="none" w:sz="0" w:space="0" w:color="auto"/>
                                                        <w:right w:val="none" w:sz="0" w:space="0" w:color="auto"/>
                                                      </w:divBdr>
                                                      <w:divsChild>
                                                        <w:div w:id="205022215">
                                                          <w:marLeft w:val="0"/>
                                                          <w:marRight w:val="0"/>
                                                          <w:marTop w:val="0"/>
                                                          <w:marBottom w:val="0"/>
                                                          <w:divBdr>
                                                            <w:top w:val="none" w:sz="0" w:space="0" w:color="auto"/>
                                                            <w:left w:val="none" w:sz="0" w:space="0" w:color="auto"/>
                                                            <w:bottom w:val="none" w:sz="0" w:space="0" w:color="auto"/>
                                                            <w:right w:val="none" w:sz="0" w:space="0" w:color="auto"/>
                                                          </w:divBdr>
                                                          <w:divsChild>
                                                            <w:div w:id="1764107680">
                                                              <w:marLeft w:val="0"/>
                                                              <w:marRight w:val="0"/>
                                                              <w:marTop w:val="0"/>
                                                              <w:marBottom w:val="0"/>
                                                              <w:divBdr>
                                                                <w:top w:val="none" w:sz="0" w:space="0" w:color="auto"/>
                                                                <w:left w:val="none" w:sz="0" w:space="0" w:color="auto"/>
                                                                <w:bottom w:val="none" w:sz="0" w:space="0" w:color="auto"/>
                                                                <w:right w:val="none" w:sz="0" w:space="0" w:color="auto"/>
                                                              </w:divBdr>
                                                            </w:div>
                                                          </w:divsChild>
                                                        </w:div>
                                                        <w:div w:id="1829635160">
                                                          <w:marLeft w:val="0"/>
                                                          <w:marRight w:val="0"/>
                                                          <w:marTop w:val="0"/>
                                                          <w:marBottom w:val="0"/>
                                                          <w:divBdr>
                                                            <w:top w:val="none" w:sz="0" w:space="0" w:color="auto"/>
                                                            <w:left w:val="none" w:sz="0" w:space="0" w:color="auto"/>
                                                            <w:bottom w:val="none" w:sz="0" w:space="0" w:color="auto"/>
                                                            <w:right w:val="none" w:sz="0" w:space="0" w:color="auto"/>
                                                          </w:divBdr>
                                                          <w:divsChild>
                                                            <w:div w:id="77102322">
                                                              <w:marLeft w:val="0"/>
                                                              <w:marRight w:val="0"/>
                                                              <w:marTop w:val="0"/>
                                                              <w:marBottom w:val="0"/>
                                                              <w:divBdr>
                                                                <w:top w:val="none" w:sz="0" w:space="0" w:color="auto"/>
                                                                <w:left w:val="none" w:sz="0" w:space="0" w:color="auto"/>
                                                                <w:bottom w:val="none" w:sz="0" w:space="0" w:color="auto"/>
                                                                <w:right w:val="none" w:sz="0" w:space="0" w:color="auto"/>
                                                              </w:divBdr>
                                                            </w:div>
                                                          </w:divsChild>
                                                        </w:div>
                                                        <w:div w:id="96802867">
                                                          <w:marLeft w:val="0"/>
                                                          <w:marRight w:val="0"/>
                                                          <w:marTop w:val="0"/>
                                                          <w:marBottom w:val="0"/>
                                                          <w:divBdr>
                                                            <w:top w:val="none" w:sz="0" w:space="0" w:color="auto"/>
                                                            <w:left w:val="none" w:sz="0" w:space="0" w:color="auto"/>
                                                            <w:bottom w:val="none" w:sz="0" w:space="0" w:color="auto"/>
                                                            <w:right w:val="none" w:sz="0" w:space="0" w:color="auto"/>
                                                          </w:divBdr>
                                                          <w:divsChild>
                                                            <w:div w:id="636764932">
                                                              <w:marLeft w:val="0"/>
                                                              <w:marRight w:val="0"/>
                                                              <w:marTop w:val="0"/>
                                                              <w:marBottom w:val="0"/>
                                                              <w:divBdr>
                                                                <w:top w:val="none" w:sz="0" w:space="0" w:color="auto"/>
                                                                <w:left w:val="none" w:sz="0" w:space="0" w:color="auto"/>
                                                                <w:bottom w:val="none" w:sz="0" w:space="0" w:color="auto"/>
                                                                <w:right w:val="none" w:sz="0" w:space="0" w:color="auto"/>
                                                              </w:divBdr>
                                                            </w:div>
                                                          </w:divsChild>
                                                        </w:div>
                                                        <w:div w:id="2080209765">
                                                          <w:marLeft w:val="0"/>
                                                          <w:marRight w:val="0"/>
                                                          <w:marTop w:val="0"/>
                                                          <w:marBottom w:val="0"/>
                                                          <w:divBdr>
                                                            <w:top w:val="none" w:sz="0" w:space="0" w:color="auto"/>
                                                            <w:left w:val="none" w:sz="0" w:space="0" w:color="auto"/>
                                                            <w:bottom w:val="none" w:sz="0" w:space="0" w:color="auto"/>
                                                            <w:right w:val="none" w:sz="0" w:space="0" w:color="auto"/>
                                                          </w:divBdr>
                                                          <w:divsChild>
                                                            <w:div w:id="177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14388">
      <w:bodyDiv w:val="1"/>
      <w:marLeft w:val="0"/>
      <w:marRight w:val="0"/>
      <w:marTop w:val="0"/>
      <w:marBottom w:val="0"/>
      <w:divBdr>
        <w:top w:val="none" w:sz="0" w:space="0" w:color="auto"/>
        <w:left w:val="none" w:sz="0" w:space="0" w:color="auto"/>
        <w:bottom w:val="none" w:sz="0" w:space="0" w:color="auto"/>
        <w:right w:val="none" w:sz="0" w:space="0" w:color="auto"/>
      </w:divBdr>
    </w:div>
    <w:div w:id="819924678">
      <w:bodyDiv w:val="1"/>
      <w:marLeft w:val="0"/>
      <w:marRight w:val="0"/>
      <w:marTop w:val="0"/>
      <w:marBottom w:val="0"/>
      <w:divBdr>
        <w:top w:val="none" w:sz="0" w:space="0" w:color="auto"/>
        <w:left w:val="none" w:sz="0" w:space="0" w:color="auto"/>
        <w:bottom w:val="none" w:sz="0" w:space="0" w:color="auto"/>
        <w:right w:val="none" w:sz="0" w:space="0" w:color="auto"/>
      </w:divBdr>
    </w:div>
    <w:div w:id="909467176">
      <w:bodyDiv w:val="1"/>
      <w:marLeft w:val="0"/>
      <w:marRight w:val="0"/>
      <w:marTop w:val="0"/>
      <w:marBottom w:val="0"/>
      <w:divBdr>
        <w:top w:val="none" w:sz="0" w:space="0" w:color="auto"/>
        <w:left w:val="none" w:sz="0" w:space="0" w:color="auto"/>
        <w:bottom w:val="none" w:sz="0" w:space="0" w:color="auto"/>
        <w:right w:val="none" w:sz="0" w:space="0" w:color="auto"/>
      </w:divBdr>
    </w:div>
    <w:div w:id="114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zcourts.gov/cscommittees/arizona-commission-on-access-to-jus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nfaras\application%20data\microsoft\templates\Legal%20Pleadings\Caption.SuperiorCou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065B-C407-4DD3-8249-4C4169B3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Caption.SuperiorCourt.dot</Template>
  <TotalTime>0</TotalTime>
  <Pages>5</Pages>
  <Words>994</Words>
  <Characters>4992</Characters>
  <Application>Microsoft Office Word</Application>
  <DocSecurity>0</DocSecurity>
  <PresentationFormat>15|.DOCX</PresentationFormat>
  <Lines>118</Lines>
  <Paragraphs>44</Paragraphs>
  <ScaleCrop>false</ScaleCrop>
  <HeadingPairs>
    <vt:vector size="2" baseType="variant">
      <vt:variant>
        <vt:lpstr>Title</vt:lpstr>
      </vt:variant>
      <vt:variant>
        <vt:i4>1</vt:i4>
      </vt:variant>
    </vt:vector>
  </HeadingPairs>
  <TitlesOfParts>
    <vt:vector size="1" baseType="lpstr">
      <vt:lpstr>PCBA Comment Formatted (draft)  (00672385.DOCX;3)</vt:lpstr>
    </vt:vector>
  </TitlesOfParts>
  <Company>PCAO</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PCBA Comment Formatted (draft)  (00672385.DOCX;3)</dc:title>
  <dc:subject>wdNOSTAMP</dc:subject>
  <dc:creator>Norma L. Faras</dc:creator>
  <dc:description>DO NOT STAMP</dc:description>
  <cp:lastModifiedBy>James Rappaport</cp:lastModifiedBy>
  <cp:revision>2</cp:revision>
  <cp:lastPrinted>2022-09-30T21:27:00Z</cp:lastPrinted>
  <dcterms:created xsi:type="dcterms:W3CDTF">2022-10-03T17:00:00Z</dcterms:created>
  <dcterms:modified xsi:type="dcterms:W3CDTF">2022-10-03T17:00:00Z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