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3B37" w14:textId="77777777" w:rsidR="002F3BDC" w:rsidRPr="002F3BDC" w:rsidRDefault="002F3BDC" w:rsidP="002F3BDC">
      <w:pPr>
        <w:jc w:val="both"/>
        <w:rPr>
          <w:sz w:val="28"/>
          <w:szCs w:val="28"/>
        </w:rPr>
      </w:pPr>
      <w:r w:rsidRPr="002F3BDC">
        <w:rPr>
          <w:sz w:val="28"/>
          <w:szCs w:val="28"/>
        </w:rPr>
        <w:t>Patricia A. Sallen</w:t>
      </w:r>
    </w:p>
    <w:p w14:paraId="5956682C" w14:textId="77777777" w:rsidR="002F3BDC" w:rsidRPr="002F3BDC" w:rsidRDefault="002F3BDC" w:rsidP="002F3BDC">
      <w:pPr>
        <w:jc w:val="both"/>
        <w:rPr>
          <w:sz w:val="28"/>
          <w:szCs w:val="28"/>
        </w:rPr>
      </w:pPr>
      <w:r w:rsidRPr="002F3BDC">
        <w:rPr>
          <w:sz w:val="28"/>
          <w:szCs w:val="28"/>
        </w:rPr>
        <w:t>Ethics at Law PLLC</w:t>
      </w:r>
    </w:p>
    <w:p w14:paraId="62E74CDA" w14:textId="77777777" w:rsidR="002F3BDC" w:rsidRPr="002F3BDC" w:rsidRDefault="002F3BDC" w:rsidP="002F3BDC">
      <w:pPr>
        <w:jc w:val="both"/>
        <w:rPr>
          <w:sz w:val="28"/>
          <w:szCs w:val="28"/>
        </w:rPr>
      </w:pPr>
      <w:r w:rsidRPr="002F3BDC">
        <w:rPr>
          <w:sz w:val="28"/>
          <w:szCs w:val="28"/>
        </w:rPr>
        <w:t>3420 N. 42</w:t>
      </w:r>
      <w:r w:rsidRPr="002F3BDC">
        <w:rPr>
          <w:sz w:val="28"/>
          <w:szCs w:val="28"/>
          <w:vertAlign w:val="superscript"/>
        </w:rPr>
        <w:t>nd</w:t>
      </w:r>
      <w:r w:rsidRPr="002F3BDC">
        <w:rPr>
          <w:sz w:val="28"/>
          <w:szCs w:val="28"/>
        </w:rPr>
        <w:t xml:space="preserve"> St.</w:t>
      </w:r>
    </w:p>
    <w:p w14:paraId="5E7C4479" w14:textId="77777777" w:rsidR="002F3BDC" w:rsidRPr="002F3BDC" w:rsidRDefault="002F3BDC" w:rsidP="002F3BDC">
      <w:pPr>
        <w:jc w:val="both"/>
        <w:rPr>
          <w:sz w:val="28"/>
          <w:szCs w:val="28"/>
        </w:rPr>
      </w:pPr>
      <w:r w:rsidRPr="002F3BDC">
        <w:rPr>
          <w:sz w:val="28"/>
          <w:szCs w:val="28"/>
        </w:rPr>
        <w:t>Phoenix, Arizona 85018</w:t>
      </w:r>
    </w:p>
    <w:p w14:paraId="605BCAC5" w14:textId="77777777" w:rsidR="002F3BDC" w:rsidRPr="002F3BDC" w:rsidRDefault="002F3BDC" w:rsidP="002F3BDC">
      <w:pPr>
        <w:jc w:val="both"/>
        <w:rPr>
          <w:sz w:val="28"/>
          <w:szCs w:val="28"/>
          <w:lang w:val="es-ES"/>
        </w:rPr>
      </w:pPr>
      <w:r w:rsidRPr="002F3BDC">
        <w:rPr>
          <w:sz w:val="28"/>
          <w:szCs w:val="28"/>
          <w:lang w:val="es-ES"/>
        </w:rPr>
        <w:t>480-290-4841</w:t>
      </w:r>
    </w:p>
    <w:p w14:paraId="3C7EC839" w14:textId="77777777" w:rsidR="002F3BDC" w:rsidRPr="002F3BDC" w:rsidRDefault="002F3BDC" w:rsidP="002F3BDC">
      <w:pPr>
        <w:jc w:val="both"/>
        <w:rPr>
          <w:sz w:val="28"/>
          <w:szCs w:val="28"/>
          <w:lang w:val="es-ES"/>
        </w:rPr>
      </w:pPr>
      <w:r w:rsidRPr="002F3BDC">
        <w:rPr>
          <w:sz w:val="28"/>
          <w:szCs w:val="28"/>
          <w:lang w:val="es-ES"/>
        </w:rPr>
        <w:t>psallen@ethicsatlaw.com</w:t>
      </w:r>
    </w:p>
    <w:p w14:paraId="66D418AF" w14:textId="77777777" w:rsidR="002F3BDC" w:rsidRPr="002F3BDC" w:rsidRDefault="002F3BDC" w:rsidP="002F3BDC">
      <w:pPr>
        <w:jc w:val="both"/>
        <w:rPr>
          <w:sz w:val="28"/>
          <w:szCs w:val="28"/>
          <w:lang w:val="es-ES"/>
        </w:rPr>
      </w:pPr>
      <w:r w:rsidRPr="002F3BDC">
        <w:rPr>
          <w:sz w:val="28"/>
          <w:szCs w:val="28"/>
          <w:lang w:val="es-ES"/>
        </w:rPr>
        <w:t>Bar No. 012338</w:t>
      </w:r>
    </w:p>
    <w:p w14:paraId="71C3D394" w14:textId="77777777" w:rsidR="002F3BDC" w:rsidRPr="002F3BDC" w:rsidRDefault="002F3BDC" w:rsidP="002F3BDC">
      <w:pPr>
        <w:jc w:val="both"/>
        <w:rPr>
          <w:sz w:val="28"/>
          <w:szCs w:val="28"/>
          <w:lang w:val="es-ES"/>
        </w:rPr>
      </w:pPr>
    </w:p>
    <w:p w14:paraId="0098C516" w14:textId="77777777" w:rsidR="002F3BDC" w:rsidRPr="002F3BDC" w:rsidRDefault="002F3BDC" w:rsidP="002F3BDC">
      <w:pPr>
        <w:jc w:val="both"/>
        <w:rPr>
          <w:sz w:val="28"/>
          <w:szCs w:val="28"/>
        </w:rPr>
      </w:pPr>
      <w:r w:rsidRPr="002F3BDC">
        <w:rPr>
          <w:sz w:val="28"/>
          <w:szCs w:val="28"/>
        </w:rPr>
        <w:t>Nancy A. Greenlee</w:t>
      </w:r>
    </w:p>
    <w:p w14:paraId="7FCD9B41" w14:textId="77777777" w:rsidR="002F3BDC" w:rsidRPr="002F3BDC" w:rsidRDefault="002F3BDC" w:rsidP="002F3BDC">
      <w:pPr>
        <w:jc w:val="both"/>
        <w:rPr>
          <w:sz w:val="28"/>
          <w:szCs w:val="28"/>
        </w:rPr>
      </w:pPr>
      <w:r w:rsidRPr="002F3BDC">
        <w:rPr>
          <w:sz w:val="28"/>
          <w:szCs w:val="28"/>
        </w:rPr>
        <w:t>Attorney and Counselor at Law</w:t>
      </w:r>
    </w:p>
    <w:p w14:paraId="0DCA0AA6" w14:textId="77777777" w:rsidR="002F3BDC" w:rsidRPr="002F3BDC" w:rsidRDefault="002F3BDC" w:rsidP="002F3BDC">
      <w:pPr>
        <w:jc w:val="both"/>
        <w:rPr>
          <w:sz w:val="28"/>
          <w:szCs w:val="28"/>
        </w:rPr>
      </w:pPr>
      <w:r w:rsidRPr="002F3BDC">
        <w:rPr>
          <w:sz w:val="28"/>
          <w:szCs w:val="28"/>
        </w:rPr>
        <w:t>821 East Fern Drive North</w:t>
      </w:r>
    </w:p>
    <w:p w14:paraId="1B072EE4" w14:textId="77777777" w:rsidR="002F3BDC" w:rsidRPr="002F3BDC" w:rsidRDefault="002F3BDC" w:rsidP="002F3BDC">
      <w:pPr>
        <w:jc w:val="both"/>
        <w:rPr>
          <w:sz w:val="28"/>
          <w:szCs w:val="28"/>
        </w:rPr>
      </w:pPr>
      <w:r w:rsidRPr="002F3BDC">
        <w:rPr>
          <w:sz w:val="28"/>
          <w:szCs w:val="28"/>
        </w:rPr>
        <w:t>Phoenix, Arizona 85014</w:t>
      </w:r>
    </w:p>
    <w:p w14:paraId="7D9E9739" w14:textId="77777777" w:rsidR="002F3BDC" w:rsidRPr="002F3BDC" w:rsidRDefault="002F3BDC" w:rsidP="002F3BDC">
      <w:pPr>
        <w:jc w:val="both"/>
        <w:rPr>
          <w:sz w:val="28"/>
          <w:szCs w:val="28"/>
        </w:rPr>
      </w:pPr>
      <w:r w:rsidRPr="002F3BDC">
        <w:rPr>
          <w:sz w:val="28"/>
          <w:szCs w:val="28"/>
        </w:rPr>
        <w:t>Telephone: (602) 264-8110</w:t>
      </w:r>
    </w:p>
    <w:p w14:paraId="481C60F7" w14:textId="77777777" w:rsidR="002F3BDC" w:rsidRPr="002F3BDC" w:rsidRDefault="002F3BDC" w:rsidP="002F3BDC">
      <w:pPr>
        <w:jc w:val="both"/>
        <w:rPr>
          <w:sz w:val="28"/>
          <w:szCs w:val="28"/>
        </w:rPr>
      </w:pPr>
      <w:r w:rsidRPr="002F3BDC">
        <w:rPr>
          <w:sz w:val="28"/>
          <w:szCs w:val="28"/>
        </w:rPr>
        <w:t>Email: nancy@nancygreenlee.com</w:t>
      </w:r>
    </w:p>
    <w:p w14:paraId="03C0B5EE" w14:textId="77777777" w:rsidR="002F3BDC" w:rsidRPr="002F3BDC" w:rsidRDefault="002F3BDC" w:rsidP="002F3BDC">
      <w:pPr>
        <w:jc w:val="both"/>
        <w:rPr>
          <w:sz w:val="28"/>
          <w:szCs w:val="28"/>
        </w:rPr>
      </w:pPr>
      <w:r w:rsidRPr="002F3BDC">
        <w:rPr>
          <w:sz w:val="28"/>
          <w:szCs w:val="28"/>
        </w:rPr>
        <w:t>Bar No. 010892</w:t>
      </w:r>
    </w:p>
    <w:p w14:paraId="131028E8" w14:textId="77777777" w:rsidR="002F3BDC" w:rsidRPr="002F3BDC" w:rsidRDefault="002F3BDC" w:rsidP="002F3BDC">
      <w:pPr>
        <w:spacing w:line="480" w:lineRule="auto"/>
        <w:jc w:val="both"/>
        <w:rPr>
          <w:sz w:val="28"/>
          <w:szCs w:val="28"/>
        </w:rPr>
      </w:pPr>
    </w:p>
    <w:p w14:paraId="6DFDFDA8" w14:textId="77777777" w:rsidR="002F3BDC" w:rsidRPr="002F3BDC" w:rsidRDefault="002F3BDC" w:rsidP="002F3BDC">
      <w:pPr>
        <w:spacing w:line="480" w:lineRule="auto"/>
        <w:jc w:val="center"/>
        <w:rPr>
          <w:b/>
          <w:sz w:val="28"/>
          <w:szCs w:val="28"/>
        </w:rPr>
      </w:pPr>
      <w:r w:rsidRPr="002F3BDC">
        <w:rPr>
          <w:b/>
          <w:sz w:val="28"/>
          <w:szCs w:val="28"/>
        </w:rPr>
        <w:t>IN THE ARIZONA SUPREME COURT</w:t>
      </w:r>
    </w:p>
    <w:p w14:paraId="43F90AC5" w14:textId="77777777" w:rsidR="002F3BDC" w:rsidRPr="002F3BDC" w:rsidRDefault="002F3BDC" w:rsidP="002F3BDC">
      <w:pPr>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2F3BDC" w:rsidRPr="002F3BDC" w14:paraId="4C4E697A" w14:textId="77777777" w:rsidTr="00CE6993">
        <w:tc>
          <w:tcPr>
            <w:tcW w:w="4608" w:type="dxa"/>
            <w:tcBorders>
              <w:right w:val="single" w:sz="4" w:space="0" w:color="auto"/>
            </w:tcBorders>
          </w:tcPr>
          <w:p w14:paraId="441F0168" w14:textId="77777777" w:rsidR="002F3BDC" w:rsidRPr="002F3BDC" w:rsidRDefault="002F3BDC" w:rsidP="00CE6993">
            <w:pPr>
              <w:pStyle w:val="Caption"/>
              <w:spacing w:before="240" w:line="260" w:lineRule="exact"/>
              <w:rPr>
                <w:sz w:val="28"/>
                <w:szCs w:val="28"/>
              </w:rPr>
            </w:pPr>
            <w:r w:rsidRPr="002F3BDC">
              <w:rPr>
                <w:sz w:val="28"/>
                <w:szCs w:val="28"/>
              </w:rPr>
              <w:t>In the Matter of:</w:t>
            </w:r>
          </w:p>
          <w:p w14:paraId="7485C473" w14:textId="77777777" w:rsidR="002F3BDC" w:rsidRPr="002F3BDC" w:rsidRDefault="002F3BDC" w:rsidP="00CE6993">
            <w:pPr>
              <w:rPr>
                <w:sz w:val="28"/>
                <w:szCs w:val="28"/>
              </w:rPr>
            </w:pPr>
          </w:p>
          <w:p w14:paraId="4ACE6F88" w14:textId="77777777" w:rsidR="002F3BDC" w:rsidRPr="002F3BDC" w:rsidRDefault="002F3BDC" w:rsidP="00CE6993">
            <w:pPr>
              <w:rPr>
                <w:b/>
                <w:color w:val="000000"/>
                <w:sz w:val="28"/>
                <w:szCs w:val="28"/>
              </w:rPr>
            </w:pPr>
            <w:r w:rsidRPr="002F3BDC">
              <w:rPr>
                <w:b/>
                <w:sz w:val="28"/>
                <w:szCs w:val="28"/>
              </w:rPr>
              <w:t>PETITION TO AMEND RULE 60 OF THE ARIZONA RULES OF SUPREME COURT</w:t>
            </w:r>
            <w:r w:rsidRPr="002F3BDC">
              <w:rPr>
                <w:b/>
                <w:color w:val="000000"/>
                <w:sz w:val="28"/>
                <w:szCs w:val="28"/>
              </w:rPr>
              <w:t xml:space="preserve"> </w:t>
            </w:r>
          </w:p>
        </w:tc>
        <w:tc>
          <w:tcPr>
            <w:tcW w:w="270" w:type="dxa"/>
            <w:tcBorders>
              <w:left w:val="single" w:sz="4" w:space="0" w:color="auto"/>
            </w:tcBorders>
          </w:tcPr>
          <w:p w14:paraId="6C9982B4" w14:textId="77777777" w:rsidR="002F3BDC" w:rsidRPr="002F3BDC" w:rsidRDefault="002F3BDC" w:rsidP="00CE6993">
            <w:pPr>
              <w:jc w:val="both"/>
              <w:rPr>
                <w:b/>
                <w:color w:val="000000"/>
                <w:sz w:val="28"/>
                <w:szCs w:val="28"/>
              </w:rPr>
            </w:pPr>
          </w:p>
        </w:tc>
        <w:tc>
          <w:tcPr>
            <w:tcW w:w="4500" w:type="dxa"/>
          </w:tcPr>
          <w:p w14:paraId="58382C79" w14:textId="77777777" w:rsidR="002F3BDC" w:rsidRPr="002F3BDC" w:rsidRDefault="002F3BDC" w:rsidP="00CE6993">
            <w:pPr>
              <w:jc w:val="both"/>
              <w:rPr>
                <w:color w:val="000000"/>
                <w:sz w:val="28"/>
                <w:szCs w:val="28"/>
              </w:rPr>
            </w:pPr>
            <w:r w:rsidRPr="002F3BDC">
              <w:rPr>
                <w:color w:val="000000"/>
                <w:sz w:val="28"/>
                <w:szCs w:val="28"/>
              </w:rPr>
              <w:t>Supreme Court No. R-22-0036</w:t>
            </w:r>
          </w:p>
          <w:p w14:paraId="7E0F0C2C" w14:textId="77777777" w:rsidR="002F3BDC" w:rsidRPr="002F3BDC" w:rsidRDefault="002F3BDC" w:rsidP="00CE6993">
            <w:pPr>
              <w:jc w:val="both"/>
              <w:rPr>
                <w:color w:val="000000"/>
                <w:sz w:val="28"/>
                <w:szCs w:val="28"/>
              </w:rPr>
            </w:pPr>
          </w:p>
          <w:p w14:paraId="2252FB9B" w14:textId="77777777" w:rsidR="002F3BDC" w:rsidRPr="002F3BDC" w:rsidRDefault="002F3BDC" w:rsidP="00CE6993">
            <w:pPr>
              <w:rPr>
                <w:b/>
                <w:color w:val="000000"/>
                <w:sz w:val="28"/>
                <w:szCs w:val="28"/>
              </w:rPr>
            </w:pPr>
            <w:r w:rsidRPr="002F3BDC">
              <w:rPr>
                <w:b/>
                <w:color w:val="000000"/>
                <w:sz w:val="28"/>
                <w:szCs w:val="28"/>
              </w:rPr>
              <w:t>Second Comment on Petition to Amend Rule 60, Ariz. R. Sup. Ct.</w:t>
            </w:r>
          </w:p>
          <w:p w14:paraId="648B3A74" w14:textId="77777777" w:rsidR="002F3BDC" w:rsidRPr="002F3BDC" w:rsidRDefault="002F3BDC" w:rsidP="00CE6993">
            <w:pPr>
              <w:jc w:val="both"/>
              <w:rPr>
                <w:b/>
                <w:color w:val="000000"/>
                <w:sz w:val="28"/>
                <w:szCs w:val="28"/>
              </w:rPr>
            </w:pPr>
          </w:p>
        </w:tc>
      </w:tr>
      <w:tr w:rsidR="002F3BDC" w:rsidRPr="002F3BDC" w14:paraId="3316B60A" w14:textId="77777777" w:rsidTr="00CE6993">
        <w:tc>
          <w:tcPr>
            <w:tcW w:w="4608" w:type="dxa"/>
            <w:tcBorders>
              <w:bottom w:val="single" w:sz="4" w:space="0" w:color="auto"/>
              <w:right w:val="single" w:sz="4" w:space="0" w:color="auto"/>
            </w:tcBorders>
          </w:tcPr>
          <w:p w14:paraId="77315864" w14:textId="77777777" w:rsidR="002F3BDC" w:rsidRPr="002F3BDC" w:rsidRDefault="002F3BDC" w:rsidP="00CE6993">
            <w:pPr>
              <w:spacing w:line="480" w:lineRule="auto"/>
              <w:jc w:val="both"/>
              <w:rPr>
                <w:color w:val="000000"/>
                <w:sz w:val="28"/>
                <w:szCs w:val="28"/>
              </w:rPr>
            </w:pPr>
          </w:p>
        </w:tc>
        <w:tc>
          <w:tcPr>
            <w:tcW w:w="270" w:type="dxa"/>
            <w:tcBorders>
              <w:left w:val="single" w:sz="4" w:space="0" w:color="auto"/>
            </w:tcBorders>
          </w:tcPr>
          <w:p w14:paraId="3B18E3D2" w14:textId="77777777" w:rsidR="002F3BDC" w:rsidRPr="002F3BDC" w:rsidRDefault="002F3BDC" w:rsidP="00CE6993">
            <w:pPr>
              <w:spacing w:line="480" w:lineRule="auto"/>
              <w:jc w:val="both"/>
              <w:rPr>
                <w:b/>
                <w:color w:val="000000"/>
                <w:sz w:val="28"/>
                <w:szCs w:val="28"/>
              </w:rPr>
            </w:pPr>
          </w:p>
        </w:tc>
        <w:tc>
          <w:tcPr>
            <w:tcW w:w="4500" w:type="dxa"/>
          </w:tcPr>
          <w:p w14:paraId="44E8D3EB" w14:textId="77777777" w:rsidR="002F3BDC" w:rsidRPr="002F3BDC" w:rsidRDefault="002F3BDC" w:rsidP="00CE6993">
            <w:pPr>
              <w:spacing w:line="480" w:lineRule="auto"/>
              <w:jc w:val="both"/>
              <w:rPr>
                <w:color w:val="000000"/>
                <w:sz w:val="28"/>
                <w:szCs w:val="28"/>
              </w:rPr>
            </w:pPr>
          </w:p>
        </w:tc>
      </w:tr>
    </w:tbl>
    <w:p w14:paraId="0952650B" w14:textId="77777777" w:rsidR="002F3BDC" w:rsidRPr="002F3BDC" w:rsidRDefault="002F3BDC" w:rsidP="002F3BDC">
      <w:pPr>
        <w:spacing w:line="480" w:lineRule="auto"/>
        <w:ind w:firstLine="720"/>
        <w:jc w:val="both"/>
        <w:rPr>
          <w:color w:val="000000"/>
          <w:sz w:val="28"/>
          <w:szCs w:val="28"/>
        </w:rPr>
      </w:pPr>
    </w:p>
    <w:p w14:paraId="38FB0E72"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Pursuant to Rule 28, Ariz. R. Sup. Ct., we respectfully submit this second comment on rule-change petition R-22-0036. We incorporate into this second comment the first comment we filed on August 18, 2022.</w:t>
      </w:r>
    </w:p>
    <w:p w14:paraId="1265EEC7"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Our position on this proposal depends on what language the Court will consider at its December 2022 Rules Agenda, as explained below.</w:t>
      </w:r>
    </w:p>
    <w:p w14:paraId="6B860715" w14:textId="77777777" w:rsidR="002F3BDC" w:rsidRPr="002F3BDC" w:rsidRDefault="002F3BDC" w:rsidP="002F3BDC">
      <w:pPr>
        <w:spacing w:line="480" w:lineRule="auto"/>
        <w:jc w:val="center"/>
        <w:rPr>
          <w:b/>
          <w:bCs/>
          <w:color w:val="000000"/>
          <w:sz w:val="28"/>
          <w:szCs w:val="28"/>
        </w:rPr>
      </w:pPr>
      <w:r w:rsidRPr="002F3BDC">
        <w:rPr>
          <w:b/>
          <w:bCs/>
          <w:color w:val="000000"/>
          <w:sz w:val="28"/>
          <w:szCs w:val="28"/>
        </w:rPr>
        <w:lastRenderedPageBreak/>
        <w:t>Introduction</w:t>
      </w:r>
    </w:p>
    <w:p w14:paraId="0FCA92B7"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 xml:space="preserve">The State Bar of Arizona filed the original rule-change petition purportedly to implement new A.R.S. § 12-353, which authorizes a respondent lawyer to obtain attorney’s fees from the State Bar. The rule-change proposal went far beyond merely implementing that new statute, however, and </w:t>
      </w:r>
      <w:proofErr w:type="gramStart"/>
      <w:r w:rsidRPr="002F3BDC">
        <w:rPr>
          <w:color w:val="000000"/>
          <w:sz w:val="28"/>
          <w:szCs w:val="28"/>
        </w:rPr>
        <w:t>actually proposed</w:t>
      </w:r>
      <w:proofErr w:type="gramEnd"/>
      <w:r w:rsidRPr="002F3BDC">
        <w:rPr>
          <w:color w:val="000000"/>
          <w:sz w:val="28"/>
          <w:szCs w:val="28"/>
        </w:rPr>
        <w:t xml:space="preserve"> a significant and substantial change to attorney discipline proceedings: authorizing the State Bar, under certain circumstances, to obtain an explicit award of attorney’s fees </w:t>
      </w:r>
      <w:r w:rsidRPr="002F3BDC">
        <w:rPr>
          <w:i/>
          <w:iCs/>
          <w:color w:val="000000"/>
          <w:sz w:val="28"/>
          <w:szCs w:val="28"/>
        </w:rPr>
        <w:t>against</w:t>
      </w:r>
      <w:r w:rsidRPr="002F3BDC">
        <w:rPr>
          <w:color w:val="000000"/>
          <w:sz w:val="28"/>
          <w:szCs w:val="28"/>
        </w:rPr>
        <w:t xml:space="preserve"> a respondent lawyer in a discipline proceeding, over and above (and/or in addition to) the standard costs currently imposed on disciplined lawyers.</w:t>
      </w:r>
    </w:p>
    <w:p w14:paraId="696B211D"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 xml:space="preserve">In its August 29, </w:t>
      </w:r>
      <w:proofErr w:type="gramStart"/>
      <w:r w:rsidRPr="002F3BDC">
        <w:rPr>
          <w:color w:val="000000"/>
          <w:sz w:val="28"/>
          <w:szCs w:val="28"/>
        </w:rPr>
        <w:t>2022</w:t>
      </w:r>
      <w:proofErr w:type="gramEnd"/>
      <w:r w:rsidRPr="002F3BDC">
        <w:rPr>
          <w:color w:val="000000"/>
          <w:sz w:val="28"/>
          <w:szCs w:val="28"/>
        </w:rPr>
        <w:t xml:space="preserve"> order, this Court rejected virtually all of the State Bar’s elaborate proposal. Instead, it adopted on an emergency basis only a version of one proposed sentence, thus making only a very simple addition to Rule 60(d):</w:t>
      </w:r>
    </w:p>
    <w:p w14:paraId="4DE23CF0" w14:textId="77777777" w:rsidR="002F3BDC" w:rsidRPr="002F3BDC" w:rsidRDefault="002F3BDC" w:rsidP="002F3BDC">
      <w:pPr>
        <w:ind w:left="720" w:right="720"/>
        <w:jc w:val="both"/>
        <w:rPr>
          <w:color w:val="000000"/>
          <w:sz w:val="28"/>
          <w:szCs w:val="28"/>
        </w:rPr>
      </w:pPr>
      <w:r w:rsidRPr="002F3BDC">
        <w:rPr>
          <w:b/>
          <w:bCs/>
          <w:color w:val="000000"/>
          <w:sz w:val="28"/>
          <w:szCs w:val="28"/>
        </w:rPr>
        <w:t>(d) Assessment of the Costs and Expenses</w:t>
      </w:r>
      <w:r w:rsidRPr="002F3BDC">
        <w:rPr>
          <w:color w:val="000000"/>
          <w:sz w:val="28"/>
          <w:szCs w:val="28"/>
        </w:rPr>
        <w:t>. An assessment of costs and expenses</w:t>
      </w:r>
      <w:r w:rsidRPr="002F3BDC">
        <w:rPr>
          <w:sz w:val="28"/>
          <w:szCs w:val="28"/>
        </w:rPr>
        <w:t xml:space="preserve"> </w:t>
      </w:r>
      <w:r w:rsidRPr="002F3BDC">
        <w:rPr>
          <w:color w:val="000000"/>
          <w:sz w:val="28"/>
          <w:szCs w:val="28"/>
        </w:rPr>
        <w:t xml:space="preserve">related to disciplinary proceedings shall be imposed upon a respondent by the committee, the presiding disciplinary judge, the hearing panel, or the court, as appropriate, in addition to any other sanction imposed. Upon a showing of good cause, all or a portion of the costs and expenses may be reduced, deferred, or waived. </w:t>
      </w:r>
      <w:r w:rsidRPr="002F3BDC">
        <w:rPr>
          <w:color w:val="000000"/>
          <w:sz w:val="28"/>
          <w:szCs w:val="28"/>
          <w:u w:val="single"/>
        </w:rPr>
        <w:t>After final disposition of a formal complaint following a contested hearing, the presiding disciplinary judge may award attorney’s fees and costs to a prevailing respondent.</w:t>
      </w:r>
    </w:p>
    <w:p w14:paraId="7B489023" w14:textId="77777777" w:rsidR="002F3BDC" w:rsidRPr="002F3BDC" w:rsidRDefault="002F3BDC" w:rsidP="002F3BDC">
      <w:pPr>
        <w:spacing w:line="480" w:lineRule="auto"/>
        <w:ind w:firstLine="720"/>
        <w:jc w:val="both"/>
        <w:rPr>
          <w:color w:val="000000"/>
          <w:sz w:val="28"/>
          <w:szCs w:val="28"/>
        </w:rPr>
      </w:pPr>
    </w:p>
    <w:p w14:paraId="29CE7D76"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 xml:space="preserve">In its order, the Court further stated that it “will consider whether to adopt </w:t>
      </w:r>
      <w:r w:rsidRPr="002F3BDC">
        <w:rPr>
          <w:i/>
          <w:iCs/>
          <w:color w:val="000000"/>
          <w:sz w:val="28"/>
          <w:szCs w:val="28"/>
        </w:rPr>
        <w:t>these rule amendments</w:t>
      </w:r>
      <w:r w:rsidRPr="002F3BDC">
        <w:rPr>
          <w:color w:val="000000"/>
          <w:sz w:val="28"/>
          <w:szCs w:val="28"/>
        </w:rPr>
        <w:t xml:space="preserve"> on a permanent basis during its December 2022 Rules Agenda.” (Emphasis added.)</w:t>
      </w:r>
    </w:p>
    <w:p w14:paraId="71AFDD53" w14:textId="1E5DEBEE" w:rsidR="002F3BDC" w:rsidRPr="002F3BDC" w:rsidRDefault="002F3BDC" w:rsidP="002F3BDC">
      <w:pPr>
        <w:pStyle w:val="ListParagraph"/>
        <w:numPr>
          <w:ilvl w:val="0"/>
          <w:numId w:val="15"/>
        </w:numPr>
        <w:ind w:right="720"/>
        <w:jc w:val="both"/>
        <w:rPr>
          <w:rFonts w:ascii="Times New Roman" w:hAnsi="Times New Roman"/>
          <w:b/>
          <w:bCs/>
          <w:color w:val="000000"/>
          <w:sz w:val="28"/>
          <w:szCs w:val="28"/>
        </w:rPr>
      </w:pPr>
      <w:r w:rsidRPr="002F3BDC">
        <w:rPr>
          <w:rFonts w:ascii="Times New Roman" w:hAnsi="Times New Roman"/>
          <w:b/>
          <w:bCs/>
          <w:color w:val="000000"/>
          <w:sz w:val="28"/>
          <w:szCs w:val="28"/>
        </w:rPr>
        <w:lastRenderedPageBreak/>
        <w:t>If the Court plans to consider only whether</w:t>
      </w:r>
      <w:r w:rsidR="00CF0B50">
        <w:rPr>
          <w:rFonts w:ascii="Times New Roman" w:hAnsi="Times New Roman"/>
          <w:b/>
          <w:bCs/>
          <w:color w:val="000000"/>
          <w:sz w:val="28"/>
          <w:szCs w:val="28"/>
        </w:rPr>
        <w:t xml:space="preserve"> to make</w:t>
      </w:r>
      <w:r w:rsidRPr="002F3BDC">
        <w:rPr>
          <w:rFonts w:ascii="Times New Roman" w:hAnsi="Times New Roman"/>
          <w:b/>
          <w:bCs/>
          <w:color w:val="000000"/>
          <w:sz w:val="28"/>
          <w:szCs w:val="28"/>
        </w:rPr>
        <w:t xml:space="preserve"> permanent the emergency Rule 60(d) amendment it has </w:t>
      </w:r>
      <w:r w:rsidR="00CF0B50">
        <w:rPr>
          <w:rFonts w:ascii="Times New Roman" w:hAnsi="Times New Roman"/>
          <w:b/>
          <w:bCs/>
          <w:color w:val="000000"/>
          <w:sz w:val="28"/>
          <w:szCs w:val="28"/>
        </w:rPr>
        <w:t>adopted</w:t>
      </w:r>
    </w:p>
    <w:p w14:paraId="02CAA19B" w14:textId="77777777" w:rsidR="002F3BDC" w:rsidRPr="002F3BDC" w:rsidRDefault="002F3BDC" w:rsidP="002F3BDC">
      <w:pPr>
        <w:pStyle w:val="ListParagraph"/>
        <w:ind w:left="1080" w:right="720"/>
        <w:jc w:val="both"/>
        <w:rPr>
          <w:rFonts w:ascii="Times New Roman" w:hAnsi="Times New Roman"/>
          <w:b/>
          <w:bCs/>
          <w:color w:val="000000"/>
          <w:sz w:val="28"/>
          <w:szCs w:val="28"/>
        </w:rPr>
      </w:pPr>
    </w:p>
    <w:p w14:paraId="32A672E1" w14:textId="1430CF86" w:rsidR="002F3BDC" w:rsidRPr="002F3BDC" w:rsidRDefault="002F3BDC" w:rsidP="002F3BDC">
      <w:pPr>
        <w:spacing w:line="480" w:lineRule="auto"/>
        <w:ind w:firstLine="720"/>
        <w:jc w:val="both"/>
        <w:rPr>
          <w:color w:val="000000"/>
          <w:sz w:val="28"/>
          <w:szCs w:val="28"/>
        </w:rPr>
      </w:pPr>
      <w:r w:rsidRPr="002F3BDC">
        <w:rPr>
          <w:color w:val="000000"/>
          <w:sz w:val="28"/>
          <w:szCs w:val="28"/>
        </w:rPr>
        <w:t>If, at its December 2022 Rules Agenda, the Court will consider only whether to make permanent its emergency Rule 60(d) amendment, we suggest that the Court consider adding language (to the rule itself or, less ideally, as a comment) to flesh out the concept of when a respondent attorney is considered the prevailing party. New A.R.S. § 12-353(A) provides that “if an attorney … prevails, in addition to any costs that are awarded by statute, the State Bar of Arizona is responsible to the attorney for any attorney fees and court costs.” What it means for a respondent attorney to prevail is a significant concept.</w:t>
      </w:r>
    </w:p>
    <w:p w14:paraId="3691E4BA"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As in civil litigation, formal discipline complaints against attorneys may involve multiple counts and claims. A rule implementing new A.R.S. § 12-353(A) should define “prevails.”  One option would be to link “prevails” to the concept of “successful party” in A.R.S. § 12-341.01, because a substantial body of caselaw already exists on that issue.</w:t>
      </w:r>
    </w:p>
    <w:p w14:paraId="16008CE3" w14:textId="77777777" w:rsidR="002F3BDC" w:rsidRPr="002F3BDC" w:rsidRDefault="002F3BDC" w:rsidP="002F3BDC">
      <w:pPr>
        <w:spacing w:line="480" w:lineRule="auto"/>
        <w:ind w:firstLine="720"/>
        <w:jc w:val="both"/>
        <w:rPr>
          <w:sz w:val="28"/>
          <w:szCs w:val="28"/>
        </w:rPr>
      </w:pPr>
      <w:r w:rsidRPr="002F3BDC">
        <w:rPr>
          <w:color w:val="000000"/>
          <w:sz w:val="28"/>
          <w:szCs w:val="28"/>
        </w:rPr>
        <w:t>Regardless, the State Bar’s proposed definition should not be adopted. It proposes, as an addition to Rule 60(d), that a respondent attorney will be considered the prevailing party “only if t</w:t>
      </w:r>
      <w:r w:rsidRPr="002F3BDC">
        <w:rPr>
          <w:sz w:val="28"/>
          <w:szCs w:val="28"/>
        </w:rPr>
        <w:t>he state bar’s position was not substantially justified and the respondent prevails as to the most significant issue or set of issues, unless the reason that the respondent prevailed is due to an intervening change in the law.”</w:t>
      </w:r>
    </w:p>
    <w:p w14:paraId="2E29A7B9"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If the point of any Rule 60 amendment is to implement new A.R.S. § 12-</w:t>
      </w:r>
      <w:r w:rsidRPr="002F3BDC">
        <w:rPr>
          <w:color w:val="000000"/>
          <w:sz w:val="28"/>
          <w:szCs w:val="28"/>
        </w:rPr>
        <w:lastRenderedPageBreak/>
        <w:t>353(A), the State Bar’s proposed concept of “prevails” adds roadblocks not intended to be part of the new statute. The new statute says nothing about the State Bar’s position needing to be “not substantially justified” or that the respondent attorney must prevail only “as to the most significant issue or set of issues.”</w:t>
      </w:r>
    </w:p>
    <w:p w14:paraId="0F143415" w14:textId="643FAFFB" w:rsidR="002F3BDC" w:rsidRPr="002F3BDC" w:rsidRDefault="002F3BDC" w:rsidP="002F3BDC">
      <w:pPr>
        <w:pStyle w:val="ListParagraph"/>
        <w:numPr>
          <w:ilvl w:val="0"/>
          <w:numId w:val="15"/>
        </w:numPr>
        <w:spacing w:line="480" w:lineRule="auto"/>
        <w:jc w:val="both"/>
        <w:rPr>
          <w:rFonts w:ascii="Times New Roman" w:hAnsi="Times New Roman"/>
          <w:b/>
          <w:bCs/>
          <w:color w:val="000000"/>
          <w:sz w:val="28"/>
          <w:szCs w:val="28"/>
        </w:rPr>
      </w:pPr>
      <w:r w:rsidRPr="002F3BDC">
        <w:rPr>
          <w:rFonts w:ascii="Times New Roman" w:hAnsi="Times New Roman"/>
          <w:b/>
          <w:bCs/>
          <w:color w:val="000000"/>
          <w:sz w:val="28"/>
          <w:szCs w:val="28"/>
        </w:rPr>
        <w:t>If the Court will consider the original State Bar proposal</w:t>
      </w:r>
    </w:p>
    <w:p w14:paraId="151ED53C"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If, at its December Rules Agenda, the Court instead plans to consider the original State Bar proposal, we again urge the Court to reject it.</w:t>
      </w:r>
    </w:p>
    <w:p w14:paraId="5AE71CD6"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The original proposal would make a significant and substantial change to the existing discipline system that requires adequate disclosure to, and vetting, by State Bar members and interested members of the public.</w:t>
      </w:r>
    </w:p>
    <w:p w14:paraId="6F4A26DD"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 xml:space="preserve">As we pointed out in our first comment, neither the legislation as </w:t>
      </w:r>
      <w:proofErr w:type="gramStart"/>
      <w:r w:rsidRPr="002F3BDC">
        <w:rPr>
          <w:color w:val="000000"/>
          <w:sz w:val="28"/>
          <w:szCs w:val="28"/>
        </w:rPr>
        <w:t>introduced</w:t>
      </w:r>
      <w:proofErr w:type="gramEnd"/>
      <w:r w:rsidRPr="002F3BDC">
        <w:rPr>
          <w:color w:val="000000"/>
          <w:sz w:val="28"/>
          <w:szCs w:val="28"/>
        </w:rPr>
        <w:t xml:space="preserve"> nor any fact sheet produced during the legislative process</w:t>
      </w:r>
      <w:r w:rsidRPr="002F3BDC">
        <w:rPr>
          <w:rStyle w:val="FootnoteReference"/>
          <w:color w:val="000000"/>
          <w:sz w:val="28"/>
          <w:szCs w:val="28"/>
          <w:vertAlign w:val="superscript"/>
        </w:rPr>
        <w:footnoteReference w:id="1"/>
      </w:r>
      <w:r w:rsidRPr="002F3BDC">
        <w:rPr>
          <w:color w:val="000000"/>
          <w:sz w:val="28"/>
          <w:szCs w:val="28"/>
          <w:vertAlign w:val="superscript"/>
        </w:rPr>
        <w:t xml:space="preserve"> </w:t>
      </w:r>
      <w:r w:rsidRPr="002F3BDC">
        <w:rPr>
          <w:color w:val="000000"/>
          <w:sz w:val="28"/>
          <w:szCs w:val="28"/>
        </w:rPr>
        <w:t xml:space="preserve">mentions the State Bar being able to seek attorney’s fees against a respondent lawyer. The focus of the proposed legislation was always on a </w:t>
      </w:r>
      <w:r w:rsidRPr="002F3BDC">
        <w:rPr>
          <w:i/>
          <w:iCs/>
          <w:color w:val="000000"/>
          <w:sz w:val="28"/>
          <w:szCs w:val="28"/>
        </w:rPr>
        <w:t>respondent</w:t>
      </w:r>
      <w:r w:rsidRPr="002F3BDC">
        <w:rPr>
          <w:color w:val="000000"/>
          <w:sz w:val="28"/>
          <w:szCs w:val="28"/>
        </w:rPr>
        <w:t xml:space="preserve"> </w:t>
      </w:r>
      <w:r w:rsidRPr="002F3BDC">
        <w:rPr>
          <w:i/>
          <w:iCs/>
          <w:color w:val="000000"/>
          <w:sz w:val="28"/>
          <w:szCs w:val="28"/>
        </w:rPr>
        <w:t>lawyer</w:t>
      </w:r>
      <w:r w:rsidRPr="002F3BDC">
        <w:rPr>
          <w:color w:val="000000"/>
          <w:sz w:val="28"/>
          <w:szCs w:val="28"/>
        </w:rPr>
        <w:t xml:space="preserve"> being able to obtain from the State Bar an award of attorney’s fees in a discipline proceeding in which the </w:t>
      </w:r>
      <w:r w:rsidRPr="002F3BDC">
        <w:rPr>
          <w:i/>
          <w:iCs/>
          <w:color w:val="000000"/>
          <w:sz w:val="28"/>
          <w:szCs w:val="28"/>
        </w:rPr>
        <w:t>respondent lawyer</w:t>
      </w:r>
      <w:r w:rsidRPr="002F3BDC">
        <w:rPr>
          <w:color w:val="000000"/>
          <w:sz w:val="28"/>
          <w:szCs w:val="28"/>
        </w:rPr>
        <w:t xml:space="preserve"> prevails.</w:t>
      </w:r>
    </w:p>
    <w:p w14:paraId="0AC1E66C" w14:textId="77777777" w:rsidR="002F3BDC" w:rsidRPr="002F3BDC" w:rsidRDefault="002F3BDC" w:rsidP="002F3BDC">
      <w:pPr>
        <w:spacing w:line="480" w:lineRule="auto"/>
        <w:ind w:firstLine="720"/>
        <w:jc w:val="both"/>
        <w:rPr>
          <w:color w:val="000000"/>
          <w:sz w:val="28"/>
          <w:szCs w:val="28"/>
        </w:rPr>
      </w:pPr>
      <w:r w:rsidRPr="002F3BDC">
        <w:rPr>
          <w:color w:val="000000"/>
          <w:sz w:val="28"/>
          <w:szCs w:val="28"/>
        </w:rPr>
        <w:t xml:space="preserve">Authorizing the State Bar to seek a standalone order of attorney’s fees against a respondent lawyer would be a major change to Arizona’s lawyer discipline process. The only costs currently authorized are those this Court outlined in its </w:t>
      </w:r>
      <w:r w:rsidRPr="002F3BDC">
        <w:rPr>
          <w:color w:val="000000"/>
          <w:sz w:val="28"/>
          <w:szCs w:val="28"/>
        </w:rPr>
        <w:lastRenderedPageBreak/>
        <w:t>Administrative Order 2011-17</w:t>
      </w:r>
      <w:r w:rsidRPr="002F3BDC">
        <w:rPr>
          <w:color w:val="000000"/>
          <w:sz w:val="28"/>
          <w:szCs w:val="28"/>
          <w:vertAlign w:val="superscript"/>
        </w:rPr>
        <w:t xml:space="preserve"> </w:t>
      </w:r>
      <w:r w:rsidRPr="002F3BDC">
        <w:rPr>
          <w:color w:val="000000"/>
          <w:sz w:val="28"/>
          <w:szCs w:val="28"/>
        </w:rPr>
        <w:t>for imposed discipline.</w:t>
      </w:r>
    </w:p>
    <w:p w14:paraId="4BB173B5" w14:textId="4C3BF4BB" w:rsidR="002F3BDC" w:rsidRPr="002F3BDC" w:rsidRDefault="002F3BDC" w:rsidP="002F3BDC">
      <w:pPr>
        <w:spacing w:line="480" w:lineRule="auto"/>
        <w:ind w:firstLine="720"/>
        <w:jc w:val="both"/>
        <w:rPr>
          <w:color w:val="000000"/>
          <w:sz w:val="28"/>
          <w:szCs w:val="28"/>
        </w:rPr>
      </w:pPr>
      <w:r w:rsidRPr="002F3BDC">
        <w:rPr>
          <w:color w:val="000000"/>
          <w:sz w:val="28"/>
          <w:szCs w:val="28"/>
        </w:rPr>
        <w:t>Even more perplexing and unexplained is that the State Bar’s rule-change proposal seem</w:t>
      </w:r>
      <w:r w:rsidR="008C3B13">
        <w:rPr>
          <w:color w:val="000000"/>
          <w:sz w:val="28"/>
          <w:szCs w:val="28"/>
        </w:rPr>
        <w:t>s</w:t>
      </w:r>
      <w:r w:rsidRPr="002F3BDC">
        <w:rPr>
          <w:color w:val="000000"/>
          <w:sz w:val="28"/>
          <w:szCs w:val="28"/>
        </w:rPr>
        <w:t xml:space="preserve"> to </w:t>
      </w:r>
      <w:r w:rsidRPr="002F3BDC">
        <w:rPr>
          <w:color w:val="000000" w:themeColor="text1"/>
          <w:sz w:val="28"/>
          <w:szCs w:val="28"/>
        </w:rPr>
        <w:t xml:space="preserve">authorize it not only to seek attorney’s fees, but to seek attorney’s fees </w:t>
      </w:r>
      <w:r w:rsidRPr="002F3BDC">
        <w:rPr>
          <w:i/>
          <w:iCs/>
          <w:color w:val="000000" w:themeColor="text1"/>
          <w:sz w:val="28"/>
          <w:szCs w:val="28"/>
        </w:rPr>
        <w:t>in addition to</w:t>
      </w:r>
      <w:r w:rsidRPr="002F3BDC">
        <w:rPr>
          <w:color w:val="000000" w:themeColor="text1"/>
          <w:sz w:val="28"/>
          <w:szCs w:val="28"/>
        </w:rPr>
        <w:t xml:space="preserve"> the costs Administrative Order 2011-17 already imposes. </w:t>
      </w:r>
      <w:r w:rsidRPr="002F3BDC">
        <w:rPr>
          <w:sz w:val="28"/>
          <w:szCs w:val="28"/>
        </w:rPr>
        <w:t xml:space="preserve">Those costs were crafted to include compensation for time bar counsel and administrative staff spend handling the bar charge and formal proceeding – additional compensation over and above mandatory </w:t>
      </w:r>
      <w:r w:rsidR="00CF0B50">
        <w:rPr>
          <w:sz w:val="28"/>
          <w:szCs w:val="28"/>
        </w:rPr>
        <w:t xml:space="preserve">State </w:t>
      </w:r>
      <w:r w:rsidRPr="002F3BDC">
        <w:rPr>
          <w:sz w:val="28"/>
          <w:szCs w:val="28"/>
        </w:rPr>
        <w:t xml:space="preserve">Bar dues members already pay to support the State Bar and </w:t>
      </w:r>
      <w:r w:rsidRPr="002F3BDC">
        <w:rPr>
          <w:color w:val="000000"/>
          <w:sz w:val="28"/>
          <w:szCs w:val="28"/>
        </w:rPr>
        <w:t>for the discipline system.</w:t>
      </w:r>
    </w:p>
    <w:p w14:paraId="71B0C29D" w14:textId="7BCA1CE6" w:rsidR="002F3BDC" w:rsidRPr="002F3BDC" w:rsidRDefault="002F3BDC" w:rsidP="002F3BDC">
      <w:pPr>
        <w:spacing w:line="480" w:lineRule="auto"/>
        <w:ind w:firstLine="720"/>
        <w:jc w:val="both"/>
        <w:rPr>
          <w:sz w:val="28"/>
          <w:szCs w:val="28"/>
        </w:rPr>
      </w:pPr>
      <w:r w:rsidRPr="002F3BDC">
        <w:rPr>
          <w:color w:val="000000" w:themeColor="text1"/>
          <w:sz w:val="28"/>
          <w:szCs w:val="28"/>
        </w:rPr>
        <w:t>T</w:t>
      </w:r>
      <w:r w:rsidRPr="002F3BDC">
        <w:rPr>
          <w:sz w:val="28"/>
          <w:szCs w:val="28"/>
        </w:rPr>
        <w:t>he alleged “extraordinary circumstances” under which the State Bar could seek attorney’s fees against a respondent lawyer include “respondent’s failure to cooperate in the discipline investigation or formal process” as well as “otherwise for good cause.” [Proposed revised Rule 60, proposed new comment [3]] A respondent lawyer who fails to cooperate is already assessed the costs of a deposition (if bar counsel determines to set one for failure to respond) and the failure to respond or cooperate in the State Bar’s investigation already is a separate ground for a discipline sanction. Assessing attorney’s fees would be punitive, something the Court has repeatedly stated is not the purpose of lawyer discipline.</w:t>
      </w:r>
    </w:p>
    <w:p w14:paraId="2526F567" w14:textId="77777777" w:rsidR="002F3BDC" w:rsidRPr="002F3BDC" w:rsidRDefault="002F3BDC" w:rsidP="002F3BDC">
      <w:pPr>
        <w:spacing w:line="480" w:lineRule="auto"/>
        <w:jc w:val="center"/>
        <w:rPr>
          <w:b/>
          <w:bCs/>
          <w:color w:val="000000"/>
          <w:sz w:val="28"/>
          <w:szCs w:val="28"/>
        </w:rPr>
      </w:pPr>
      <w:r w:rsidRPr="002F3BDC">
        <w:rPr>
          <w:b/>
          <w:bCs/>
          <w:color w:val="000000"/>
          <w:sz w:val="28"/>
          <w:szCs w:val="28"/>
        </w:rPr>
        <w:t>Conclusion</w:t>
      </w:r>
    </w:p>
    <w:p w14:paraId="62A12757" w14:textId="516E723E" w:rsidR="002F3BDC" w:rsidRPr="002F3BDC" w:rsidRDefault="002F3BDC" w:rsidP="002F3BDC">
      <w:pPr>
        <w:spacing w:line="480" w:lineRule="auto"/>
        <w:ind w:firstLine="720"/>
        <w:jc w:val="both"/>
        <w:rPr>
          <w:color w:val="000000"/>
          <w:sz w:val="28"/>
          <w:szCs w:val="28"/>
        </w:rPr>
      </w:pPr>
      <w:r w:rsidRPr="002F3BDC">
        <w:rPr>
          <w:sz w:val="28"/>
          <w:szCs w:val="28"/>
        </w:rPr>
        <w:t xml:space="preserve">The emergency amendment to Rule 60(d) attempts to implement </w:t>
      </w:r>
      <w:r w:rsidRPr="002F3BDC">
        <w:rPr>
          <w:color w:val="000000"/>
          <w:sz w:val="28"/>
          <w:szCs w:val="28"/>
        </w:rPr>
        <w:t xml:space="preserve">new A.R.S. § 12-353, albeit in a very minimalistic way. While that amendment does not answer </w:t>
      </w:r>
      <w:r w:rsidRPr="002F3BDC">
        <w:rPr>
          <w:color w:val="000000"/>
          <w:sz w:val="28"/>
          <w:szCs w:val="28"/>
        </w:rPr>
        <w:lastRenderedPageBreak/>
        <w:t>what constitutes “prevails,” it hews close</w:t>
      </w:r>
      <w:r w:rsidR="00CF0B50">
        <w:rPr>
          <w:color w:val="000000"/>
          <w:sz w:val="28"/>
          <w:szCs w:val="28"/>
        </w:rPr>
        <w:t>ly</w:t>
      </w:r>
      <w:r w:rsidRPr="002F3BDC">
        <w:rPr>
          <w:color w:val="000000"/>
          <w:sz w:val="28"/>
          <w:szCs w:val="28"/>
        </w:rPr>
        <w:t xml:space="preserve"> to the intent of the new statute. The State Bar’s original proposal goes far beyond merely implementing the new statute, proposing a significant and substantial change to attorney discipline proceedings by allowing the State Bar to seek attorney’s fees against respondent lawyers.  The Court should reject that proposal.</w:t>
      </w:r>
    </w:p>
    <w:p w14:paraId="5B6F13EA" w14:textId="0B0A85AC" w:rsidR="002F3BDC" w:rsidRPr="002F3BDC" w:rsidRDefault="002F3BDC" w:rsidP="002F3BDC">
      <w:pPr>
        <w:spacing w:line="480" w:lineRule="auto"/>
        <w:ind w:right="18" w:firstLine="720"/>
        <w:jc w:val="both"/>
        <w:rPr>
          <w:color w:val="000000"/>
          <w:sz w:val="28"/>
          <w:szCs w:val="28"/>
        </w:rPr>
      </w:pPr>
      <w:r w:rsidRPr="002F3BDC">
        <w:rPr>
          <w:color w:val="000000"/>
          <w:sz w:val="28"/>
          <w:szCs w:val="28"/>
        </w:rPr>
        <w:t xml:space="preserve">Respectfully submitted October </w:t>
      </w:r>
      <w:r w:rsidR="007F55FA">
        <w:rPr>
          <w:color w:val="000000"/>
          <w:sz w:val="28"/>
          <w:szCs w:val="28"/>
        </w:rPr>
        <w:t>3</w:t>
      </w:r>
      <w:r w:rsidR="00CF0B50">
        <w:rPr>
          <w:color w:val="000000"/>
          <w:sz w:val="28"/>
          <w:szCs w:val="28"/>
        </w:rPr>
        <w:t>,</w:t>
      </w:r>
      <w:r w:rsidRPr="002F3BDC">
        <w:rPr>
          <w:color w:val="000000"/>
          <w:sz w:val="28"/>
          <w:szCs w:val="28"/>
        </w:rPr>
        <w:t xml:space="preserve"> 2022.</w:t>
      </w:r>
    </w:p>
    <w:p w14:paraId="4F5BD3A5" w14:textId="77777777" w:rsidR="002F3BDC" w:rsidRPr="002F3BDC" w:rsidRDefault="002F3BDC" w:rsidP="002F3BDC">
      <w:pPr>
        <w:rPr>
          <w:sz w:val="28"/>
          <w:szCs w:val="28"/>
        </w:rPr>
      </w:pPr>
    </w:p>
    <w:p w14:paraId="10D34067" w14:textId="77777777" w:rsidR="002F3BDC" w:rsidRPr="002F3BDC" w:rsidRDefault="002F3BDC" w:rsidP="002F3BDC">
      <w:pPr>
        <w:rPr>
          <w:sz w:val="28"/>
          <w:szCs w:val="28"/>
          <w:u w:val="single"/>
        </w:rPr>
      </w:pP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p>
    <w:p w14:paraId="135A72A2" w14:textId="77777777" w:rsidR="002F3BDC" w:rsidRPr="002F3BDC" w:rsidRDefault="002F3BDC" w:rsidP="002F3BDC">
      <w:pPr>
        <w:ind w:left="3600" w:firstLine="720"/>
        <w:rPr>
          <w:sz w:val="28"/>
          <w:szCs w:val="28"/>
        </w:rPr>
      </w:pPr>
      <w:r w:rsidRPr="002F3BDC">
        <w:rPr>
          <w:sz w:val="28"/>
          <w:szCs w:val="28"/>
        </w:rPr>
        <w:t>Patricia A. Sallen</w:t>
      </w:r>
    </w:p>
    <w:p w14:paraId="0FEC61B5" w14:textId="77777777" w:rsidR="002F3BDC" w:rsidRPr="002F3BDC" w:rsidRDefault="002F3BDC" w:rsidP="002F3BDC">
      <w:pPr>
        <w:ind w:left="3600" w:firstLine="720"/>
        <w:rPr>
          <w:sz w:val="28"/>
          <w:szCs w:val="28"/>
        </w:rPr>
      </w:pPr>
    </w:p>
    <w:p w14:paraId="7A6D20B6" w14:textId="77777777" w:rsidR="002F3BDC" w:rsidRPr="002F3BDC" w:rsidRDefault="002F3BDC" w:rsidP="002F3BDC">
      <w:pPr>
        <w:rPr>
          <w:sz w:val="28"/>
          <w:szCs w:val="28"/>
        </w:rPr>
      </w:pPr>
    </w:p>
    <w:p w14:paraId="478CDCA7" w14:textId="77777777" w:rsidR="002F3BDC" w:rsidRPr="002F3BDC" w:rsidRDefault="002F3BDC" w:rsidP="002F3BDC">
      <w:pPr>
        <w:rPr>
          <w:sz w:val="28"/>
          <w:szCs w:val="28"/>
          <w:u w:val="single"/>
        </w:rPr>
      </w:pP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r w:rsidRPr="002F3BDC">
        <w:rPr>
          <w:sz w:val="28"/>
          <w:szCs w:val="28"/>
          <w:u w:val="single"/>
        </w:rPr>
        <w:tab/>
      </w:r>
    </w:p>
    <w:p w14:paraId="01F9DA4C" w14:textId="77777777" w:rsidR="002F3BDC" w:rsidRPr="002F3BDC" w:rsidRDefault="002F3BDC" w:rsidP="002F3BDC">
      <w:pPr>
        <w:ind w:left="3600" w:firstLine="720"/>
        <w:rPr>
          <w:sz w:val="28"/>
          <w:szCs w:val="28"/>
        </w:rPr>
      </w:pPr>
      <w:r w:rsidRPr="002F3BDC">
        <w:rPr>
          <w:sz w:val="28"/>
          <w:szCs w:val="28"/>
        </w:rPr>
        <w:t>Nancy A. Greenlee</w:t>
      </w:r>
    </w:p>
    <w:p w14:paraId="2D7193C7" w14:textId="2F4FB8D3" w:rsidR="00B22274" w:rsidRPr="002F3BDC" w:rsidRDefault="00B22274" w:rsidP="002F3BDC">
      <w:pPr>
        <w:rPr>
          <w:sz w:val="28"/>
          <w:szCs w:val="28"/>
        </w:rPr>
      </w:pPr>
    </w:p>
    <w:sectPr w:rsidR="00B22274" w:rsidRPr="002F3BDC"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4146" w14:textId="77777777" w:rsidR="00F6762D" w:rsidRDefault="00F6762D" w:rsidP="007B1902">
      <w:r>
        <w:separator/>
      </w:r>
    </w:p>
  </w:endnote>
  <w:endnote w:type="continuationSeparator" w:id="0">
    <w:p w14:paraId="6B503691" w14:textId="77777777" w:rsidR="00F6762D" w:rsidRDefault="00F6762D"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135D9B">
          <w:rPr>
            <w:sz w:val="21"/>
            <w:szCs w:val="21"/>
          </w:rPr>
          <w:fldChar w:fldCharType="begin"/>
        </w:r>
        <w:r w:rsidRPr="00135D9B">
          <w:rPr>
            <w:sz w:val="21"/>
            <w:szCs w:val="21"/>
          </w:rPr>
          <w:instrText xml:space="preserve"> PAGE   \* MERGEFORMAT </w:instrText>
        </w:r>
        <w:r w:rsidRPr="00135D9B">
          <w:rPr>
            <w:sz w:val="21"/>
            <w:szCs w:val="21"/>
          </w:rPr>
          <w:fldChar w:fldCharType="separate"/>
        </w:r>
        <w:r w:rsidR="00EB3C34" w:rsidRPr="00135D9B">
          <w:rPr>
            <w:noProof/>
            <w:sz w:val="21"/>
            <w:szCs w:val="21"/>
          </w:rPr>
          <w:t>10</w:t>
        </w:r>
        <w:r w:rsidRPr="00135D9B">
          <w:rPr>
            <w:noProof/>
            <w:sz w:val="21"/>
            <w:szCs w:val="21"/>
          </w:rPr>
          <w:fldChar w:fldCharType="end"/>
        </w:r>
      </w:p>
    </w:sdtContent>
  </w:sdt>
  <w:p w14:paraId="1993E566" w14:textId="77777777" w:rsidR="00AA0A3C" w:rsidRDefault="00AA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C13F" w14:textId="77777777" w:rsidR="00F6762D" w:rsidRDefault="00F6762D" w:rsidP="007B1902">
      <w:r>
        <w:separator/>
      </w:r>
    </w:p>
  </w:footnote>
  <w:footnote w:type="continuationSeparator" w:id="0">
    <w:p w14:paraId="0551FE3E" w14:textId="77777777" w:rsidR="00F6762D" w:rsidRDefault="00F6762D" w:rsidP="007B1902">
      <w:r>
        <w:continuationSeparator/>
      </w:r>
    </w:p>
  </w:footnote>
  <w:footnote w:id="1">
    <w:p w14:paraId="6938511A" w14:textId="77777777" w:rsidR="002F3BDC" w:rsidRPr="00F31687" w:rsidRDefault="002F3BDC" w:rsidP="002F3BDC">
      <w:pPr>
        <w:pStyle w:val="FootnoteText"/>
        <w:rPr>
          <w:sz w:val="28"/>
          <w:szCs w:val="28"/>
        </w:rPr>
      </w:pPr>
      <w:r w:rsidRPr="00F31687">
        <w:rPr>
          <w:rStyle w:val="FootnoteReference"/>
          <w:sz w:val="28"/>
          <w:szCs w:val="28"/>
          <w:vertAlign w:val="superscript"/>
        </w:rPr>
        <w:footnoteRef/>
      </w:r>
      <w:r w:rsidRPr="00F31687">
        <w:rPr>
          <w:sz w:val="28"/>
          <w:szCs w:val="28"/>
          <w:vertAlign w:val="superscript"/>
        </w:rPr>
        <w:t xml:space="preserve"> </w:t>
      </w:r>
      <w:r w:rsidRPr="000A5901">
        <w:rPr>
          <w:i/>
          <w:iCs/>
          <w:sz w:val="28"/>
          <w:szCs w:val="28"/>
        </w:rPr>
        <w:t>See</w:t>
      </w:r>
      <w:r w:rsidRPr="00F31687">
        <w:rPr>
          <w:sz w:val="28"/>
          <w:szCs w:val="28"/>
        </w:rPr>
        <w:t xml:space="preserve"> https://apps.azleg.gov/BillStatus/BillOverview/77548</w:t>
      </w:r>
      <w:r>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7608E7"/>
    <w:multiLevelType w:val="hybridMultilevel"/>
    <w:tmpl w:val="2976F344"/>
    <w:lvl w:ilvl="0" w:tplc="8E6679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51A158E3"/>
    <w:multiLevelType w:val="hybridMultilevel"/>
    <w:tmpl w:val="DCBA50AA"/>
    <w:lvl w:ilvl="0" w:tplc="C174F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84863">
    <w:abstractNumId w:val="12"/>
  </w:num>
  <w:num w:numId="3" w16cid:durableId="776027664">
    <w:abstractNumId w:val="5"/>
  </w:num>
  <w:num w:numId="4" w16cid:durableId="483013690">
    <w:abstractNumId w:val="10"/>
  </w:num>
  <w:num w:numId="5" w16cid:durableId="1699046304">
    <w:abstractNumId w:val="2"/>
  </w:num>
  <w:num w:numId="6" w16cid:durableId="152110839">
    <w:abstractNumId w:val="1"/>
  </w:num>
  <w:num w:numId="7" w16cid:durableId="577249287">
    <w:abstractNumId w:val="6"/>
  </w:num>
  <w:num w:numId="8" w16cid:durableId="516694457">
    <w:abstractNumId w:val="3"/>
  </w:num>
  <w:num w:numId="9" w16cid:durableId="152374379">
    <w:abstractNumId w:val="11"/>
  </w:num>
  <w:num w:numId="10" w16cid:durableId="1713072631">
    <w:abstractNumId w:val="9"/>
  </w:num>
  <w:num w:numId="11" w16cid:durableId="2039815140">
    <w:abstractNumId w:val="13"/>
  </w:num>
  <w:num w:numId="12" w16cid:durableId="409158686">
    <w:abstractNumId w:val="0"/>
  </w:num>
  <w:num w:numId="13" w16cid:durableId="1651447300">
    <w:abstractNumId w:val="7"/>
  </w:num>
  <w:num w:numId="14" w16cid:durableId="725495783">
    <w:abstractNumId w:val="8"/>
  </w:num>
  <w:num w:numId="15" w16cid:durableId="168921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9DE"/>
    <w:rsid w:val="00013480"/>
    <w:rsid w:val="00015EF8"/>
    <w:rsid w:val="0001600A"/>
    <w:rsid w:val="000165CE"/>
    <w:rsid w:val="00021357"/>
    <w:rsid w:val="0002191D"/>
    <w:rsid w:val="00025175"/>
    <w:rsid w:val="0002675D"/>
    <w:rsid w:val="00027B80"/>
    <w:rsid w:val="00030160"/>
    <w:rsid w:val="0003216B"/>
    <w:rsid w:val="000434D0"/>
    <w:rsid w:val="00043BF9"/>
    <w:rsid w:val="00062D8B"/>
    <w:rsid w:val="00064B3B"/>
    <w:rsid w:val="0007020D"/>
    <w:rsid w:val="0007135F"/>
    <w:rsid w:val="00082E05"/>
    <w:rsid w:val="00083D7A"/>
    <w:rsid w:val="00084046"/>
    <w:rsid w:val="0008675F"/>
    <w:rsid w:val="00086A2C"/>
    <w:rsid w:val="00092683"/>
    <w:rsid w:val="000947B0"/>
    <w:rsid w:val="000A5901"/>
    <w:rsid w:val="000C6AEA"/>
    <w:rsid w:val="000C7860"/>
    <w:rsid w:val="000D1B07"/>
    <w:rsid w:val="000D3A5A"/>
    <w:rsid w:val="000D405F"/>
    <w:rsid w:val="000D6713"/>
    <w:rsid w:val="000D78AB"/>
    <w:rsid w:val="000E5D9C"/>
    <w:rsid w:val="000E5E55"/>
    <w:rsid w:val="000E762B"/>
    <w:rsid w:val="000F2721"/>
    <w:rsid w:val="000F340F"/>
    <w:rsid w:val="000F6188"/>
    <w:rsid w:val="000F723D"/>
    <w:rsid w:val="00102ADC"/>
    <w:rsid w:val="00113100"/>
    <w:rsid w:val="00116074"/>
    <w:rsid w:val="00116676"/>
    <w:rsid w:val="00135D9B"/>
    <w:rsid w:val="00136D96"/>
    <w:rsid w:val="001446C1"/>
    <w:rsid w:val="00150F49"/>
    <w:rsid w:val="0015608B"/>
    <w:rsid w:val="00156155"/>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40ED"/>
    <w:rsid w:val="001F7E4A"/>
    <w:rsid w:val="00202DB0"/>
    <w:rsid w:val="002031EB"/>
    <w:rsid w:val="00210BDE"/>
    <w:rsid w:val="002110DD"/>
    <w:rsid w:val="002170D3"/>
    <w:rsid w:val="00225A67"/>
    <w:rsid w:val="00230115"/>
    <w:rsid w:val="00237115"/>
    <w:rsid w:val="00240548"/>
    <w:rsid w:val="00240A5E"/>
    <w:rsid w:val="00240E94"/>
    <w:rsid w:val="00245D8F"/>
    <w:rsid w:val="00263694"/>
    <w:rsid w:val="0026391D"/>
    <w:rsid w:val="0026653A"/>
    <w:rsid w:val="002665A7"/>
    <w:rsid w:val="00270326"/>
    <w:rsid w:val="002750DF"/>
    <w:rsid w:val="00277FEA"/>
    <w:rsid w:val="00284FBD"/>
    <w:rsid w:val="0028522D"/>
    <w:rsid w:val="00286EC4"/>
    <w:rsid w:val="00287BC0"/>
    <w:rsid w:val="00291C6C"/>
    <w:rsid w:val="002941F1"/>
    <w:rsid w:val="00294AD7"/>
    <w:rsid w:val="00294D35"/>
    <w:rsid w:val="00297270"/>
    <w:rsid w:val="00297E31"/>
    <w:rsid w:val="002A72A2"/>
    <w:rsid w:val="002A7CE6"/>
    <w:rsid w:val="002B1B1F"/>
    <w:rsid w:val="002B314C"/>
    <w:rsid w:val="002B7C7E"/>
    <w:rsid w:val="002C329E"/>
    <w:rsid w:val="002C4095"/>
    <w:rsid w:val="002C5711"/>
    <w:rsid w:val="002C7394"/>
    <w:rsid w:val="002C7824"/>
    <w:rsid w:val="002D4B04"/>
    <w:rsid w:val="002D6DCB"/>
    <w:rsid w:val="002E08D2"/>
    <w:rsid w:val="002E0A67"/>
    <w:rsid w:val="002E5402"/>
    <w:rsid w:val="002F2277"/>
    <w:rsid w:val="002F3BDC"/>
    <w:rsid w:val="002F4049"/>
    <w:rsid w:val="002F41E8"/>
    <w:rsid w:val="002F4B26"/>
    <w:rsid w:val="002F5D60"/>
    <w:rsid w:val="002F6B54"/>
    <w:rsid w:val="003115EC"/>
    <w:rsid w:val="00315A15"/>
    <w:rsid w:val="003235E1"/>
    <w:rsid w:val="003242B7"/>
    <w:rsid w:val="003267A3"/>
    <w:rsid w:val="00336232"/>
    <w:rsid w:val="0034408B"/>
    <w:rsid w:val="00344655"/>
    <w:rsid w:val="00345248"/>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22D5"/>
    <w:rsid w:val="003C7308"/>
    <w:rsid w:val="003D4469"/>
    <w:rsid w:val="003D4BF2"/>
    <w:rsid w:val="003E093F"/>
    <w:rsid w:val="003E1715"/>
    <w:rsid w:val="003E45D1"/>
    <w:rsid w:val="003E47DF"/>
    <w:rsid w:val="003F46D6"/>
    <w:rsid w:val="003F63EE"/>
    <w:rsid w:val="00401DCA"/>
    <w:rsid w:val="00402DEF"/>
    <w:rsid w:val="0040695C"/>
    <w:rsid w:val="00410B01"/>
    <w:rsid w:val="00414631"/>
    <w:rsid w:val="0042007C"/>
    <w:rsid w:val="00421B56"/>
    <w:rsid w:val="0042356C"/>
    <w:rsid w:val="00426F92"/>
    <w:rsid w:val="00430DF4"/>
    <w:rsid w:val="0043305D"/>
    <w:rsid w:val="00436459"/>
    <w:rsid w:val="00443BB2"/>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805F2"/>
    <w:rsid w:val="00482442"/>
    <w:rsid w:val="00492FE2"/>
    <w:rsid w:val="0049394C"/>
    <w:rsid w:val="00493DA5"/>
    <w:rsid w:val="00494378"/>
    <w:rsid w:val="004A1116"/>
    <w:rsid w:val="004A1DA1"/>
    <w:rsid w:val="004B27F7"/>
    <w:rsid w:val="004B5C3E"/>
    <w:rsid w:val="004C0376"/>
    <w:rsid w:val="004D1F8E"/>
    <w:rsid w:val="004D5309"/>
    <w:rsid w:val="004E4130"/>
    <w:rsid w:val="004E68C8"/>
    <w:rsid w:val="004F084A"/>
    <w:rsid w:val="004F303C"/>
    <w:rsid w:val="004F33FF"/>
    <w:rsid w:val="004F514D"/>
    <w:rsid w:val="005007D4"/>
    <w:rsid w:val="00501BA2"/>
    <w:rsid w:val="005036B2"/>
    <w:rsid w:val="00503987"/>
    <w:rsid w:val="005060AD"/>
    <w:rsid w:val="0050664A"/>
    <w:rsid w:val="00514A65"/>
    <w:rsid w:val="0052680E"/>
    <w:rsid w:val="00526CA6"/>
    <w:rsid w:val="0052767A"/>
    <w:rsid w:val="00541978"/>
    <w:rsid w:val="00542C16"/>
    <w:rsid w:val="005448E7"/>
    <w:rsid w:val="005504F6"/>
    <w:rsid w:val="005509BD"/>
    <w:rsid w:val="00551965"/>
    <w:rsid w:val="005532BA"/>
    <w:rsid w:val="00553568"/>
    <w:rsid w:val="00554BF3"/>
    <w:rsid w:val="00560228"/>
    <w:rsid w:val="00560513"/>
    <w:rsid w:val="00561949"/>
    <w:rsid w:val="00562A43"/>
    <w:rsid w:val="00565EF5"/>
    <w:rsid w:val="00567E2B"/>
    <w:rsid w:val="0057145A"/>
    <w:rsid w:val="00575251"/>
    <w:rsid w:val="00576CAF"/>
    <w:rsid w:val="00577254"/>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600400"/>
    <w:rsid w:val="0060070E"/>
    <w:rsid w:val="00606348"/>
    <w:rsid w:val="00607702"/>
    <w:rsid w:val="00613C70"/>
    <w:rsid w:val="006153C4"/>
    <w:rsid w:val="00624B14"/>
    <w:rsid w:val="00625535"/>
    <w:rsid w:val="0062611E"/>
    <w:rsid w:val="00627AE1"/>
    <w:rsid w:val="00627CC3"/>
    <w:rsid w:val="006308F0"/>
    <w:rsid w:val="00636AE7"/>
    <w:rsid w:val="00637A48"/>
    <w:rsid w:val="00642199"/>
    <w:rsid w:val="00644D09"/>
    <w:rsid w:val="00645C22"/>
    <w:rsid w:val="0065723A"/>
    <w:rsid w:val="00660150"/>
    <w:rsid w:val="00660BA4"/>
    <w:rsid w:val="0066148B"/>
    <w:rsid w:val="006627F9"/>
    <w:rsid w:val="00662D62"/>
    <w:rsid w:val="006641CF"/>
    <w:rsid w:val="00672B4B"/>
    <w:rsid w:val="0067351B"/>
    <w:rsid w:val="00675A7F"/>
    <w:rsid w:val="00680C65"/>
    <w:rsid w:val="006826A5"/>
    <w:rsid w:val="00685757"/>
    <w:rsid w:val="006934B4"/>
    <w:rsid w:val="006939DF"/>
    <w:rsid w:val="006A7731"/>
    <w:rsid w:val="006B6CE9"/>
    <w:rsid w:val="006C0082"/>
    <w:rsid w:val="006C0BC5"/>
    <w:rsid w:val="006D3DB7"/>
    <w:rsid w:val="006D4303"/>
    <w:rsid w:val="006D55AC"/>
    <w:rsid w:val="006D5736"/>
    <w:rsid w:val="006D6DCA"/>
    <w:rsid w:val="006F27C6"/>
    <w:rsid w:val="006F5418"/>
    <w:rsid w:val="006F58D2"/>
    <w:rsid w:val="00705A58"/>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6CBC"/>
    <w:rsid w:val="007C1076"/>
    <w:rsid w:val="007C19AF"/>
    <w:rsid w:val="007C3DE0"/>
    <w:rsid w:val="007D40B5"/>
    <w:rsid w:val="007D4FE9"/>
    <w:rsid w:val="007D5E7F"/>
    <w:rsid w:val="007E4483"/>
    <w:rsid w:val="007E4C2B"/>
    <w:rsid w:val="007F0F31"/>
    <w:rsid w:val="007F55FA"/>
    <w:rsid w:val="00805406"/>
    <w:rsid w:val="00806384"/>
    <w:rsid w:val="00812C56"/>
    <w:rsid w:val="008142AE"/>
    <w:rsid w:val="008158A0"/>
    <w:rsid w:val="00824C39"/>
    <w:rsid w:val="00830A61"/>
    <w:rsid w:val="0083612D"/>
    <w:rsid w:val="008403F6"/>
    <w:rsid w:val="008425DF"/>
    <w:rsid w:val="008523FC"/>
    <w:rsid w:val="00852A3E"/>
    <w:rsid w:val="00856FDA"/>
    <w:rsid w:val="0085745A"/>
    <w:rsid w:val="00857CE6"/>
    <w:rsid w:val="00857FE8"/>
    <w:rsid w:val="0086011A"/>
    <w:rsid w:val="00862988"/>
    <w:rsid w:val="00862F13"/>
    <w:rsid w:val="00864D75"/>
    <w:rsid w:val="008660F2"/>
    <w:rsid w:val="00866C91"/>
    <w:rsid w:val="0086744D"/>
    <w:rsid w:val="00867C08"/>
    <w:rsid w:val="008712FC"/>
    <w:rsid w:val="00882783"/>
    <w:rsid w:val="00885F03"/>
    <w:rsid w:val="00887320"/>
    <w:rsid w:val="00890A6C"/>
    <w:rsid w:val="00893B3D"/>
    <w:rsid w:val="00894678"/>
    <w:rsid w:val="00896428"/>
    <w:rsid w:val="008976DC"/>
    <w:rsid w:val="008B14A9"/>
    <w:rsid w:val="008C3B13"/>
    <w:rsid w:val="008C61E3"/>
    <w:rsid w:val="008C70B4"/>
    <w:rsid w:val="008D138F"/>
    <w:rsid w:val="008D2222"/>
    <w:rsid w:val="008D4B51"/>
    <w:rsid w:val="008E14BB"/>
    <w:rsid w:val="008F475F"/>
    <w:rsid w:val="008F5611"/>
    <w:rsid w:val="008F6C85"/>
    <w:rsid w:val="008F779E"/>
    <w:rsid w:val="0091254C"/>
    <w:rsid w:val="0091506E"/>
    <w:rsid w:val="0091657E"/>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796D"/>
    <w:rsid w:val="00A17C23"/>
    <w:rsid w:val="00A20CC6"/>
    <w:rsid w:val="00A22F0B"/>
    <w:rsid w:val="00A25E68"/>
    <w:rsid w:val="00A322E7"/>
    <w:rsid w:val="00A325A3"/>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204AD"/>
    <w:rsid w:val="00B22274"/>
    <w:rsid w:val="00B33FBB"/>
    <w:rsid w:val="00B352CC"/>
    <w:rsid w:val="00B36B55"/>
    <w:rsid w:val="00B371C0"/>
    <w:rsid w:val="00B37428"/>
    <w:rsid w:val="00B40811"/>
    <w:rsid w:val="00B411CE"/>
    <w:rsid w:val="00B422DB"/>
    <w:rsid w:val="00B43CFC"/>
    <w:rsid w:val="00B510B3"/>
    <w:rsid w:val="00B516D7"/>
    <w:rsid w:val="00B53ACF"/>
    <w:rsid w:val="00B61F99"/>
    <w:rsid w:val="00B654E0"/>
    <w:rsid w:val="00B7220C"/>
    <w:rsid w:val="00B73227"/>
    <w:rsid w:val="00B756B6"/>
    <w:rsid w:val="00B80B00"/>
    <w:rsid w:val="00B86175"/>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568CC"/>
    <w:rsid w:val="00C60189"/>
    <w:rsid w:val="00C60832"/>
    <w:rsid w:val="00C657AC"/>
    <w:rsid w:val="00C71B2A"/>
    <w:rsid w:val="00C76CE7"/>
    <w:rsid w:val="00C8079B"/>
    <w:rsid w:val="00C83C5D"/>
    <w:rsid w:val="00C855B8"/>
    <w:rsid w:val="00C86DCA"/>
    <w:rsid w:val="00C9779C"/>
    <w:rsid w:val="00CA6109"/>
    <w:rsid w:val="00CB3035"/>
    <w:rsid w:val="00CB59F5"/>
    <w:rsid w:val="00CB5EE5"/>
    <w:rsid w:val="00CB6FDA"/>
    <w:rsid w:val="00CC0B6A"/>
    <w:rsid w:val="00CC21DC"/>
    <w:rsid w:val="00CC4367"/>
    <w:rsid w:val="00CC6986"/>
    <w:rsid w:val="00CD447B"/>
    <w:rsid w:val="00CE16E0"/>
    <w:rsid w:val="00CE3CFC"/>
    <w:rsid w:val="00CE5F8C"/>
    <w:rsid w:val="00CF0B50"/>
    <w:rsid w:val="00CF0FD2"/>
    <w:rsid w:val="00CF18E0"/>
    <w:rsid w:val="00CF2A97"/>
    <w:rsid w:val="00CF33AA"/>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60454"/>
    <w:rsid w:val="00D72698"/>
    <w:rsid w:val="00D734AA"/>
    <w:rsid w:val="00D7508B"/>
    <w:rsid w:val="00D76C58"/>
    <w:rsid w:val="00D85135"/>
    <w:rsid w:val="00D95C50"/>
    <w:rsid w:val="00D95C5A"/>
    <w:rsid w:val="00DA20EB"/>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604AE"/>
    <w:rsid w:val="00E61190"/>
    <w:rsid w:val="00E633CE"/>
    <w:rsid w:val="00E67CB9"/>
    <w:rsid w:val="00E80875"/>
    <w:rsid w:val="00E85DDE"/>
    <w:rsid w:val="00E862F8"/>
    <w:rsid w:val="00E9248E"/>
    <w:rsid w:val="00EA40DC"/>
    <w:rsid w:val="00EA6B09"/>
    <w:rsid w:val="00EB3C34"/>
    <w:rsid w:val="00EB3F67"/>
    <w:rsid w:val="00EB5B91"/>
    <w:rsid w:val="00EC1ED2"/>
    <w:rsid w:val="00EC26CA"/>
    <w:rsid w:val="00EC4032"/>
    <w:rsid w:val="00EC4763"/>
    <w:rsid w:val="00EC58D4"/>
    <w:rsid w:val="00ED178A"/>
    <w:rsid w:val="00ED2F69"/>
    <w:rsid w:val="00ED3424"/>
    <w:rsid w:val="00ED661D"/>
    <w:rsid w:val="00EE13EB"/>
    <w:rsid w:val="00EE467B"/>
    <w:rsid w:val="00EE73A7"/>
    <w:rsid w:val="00EE7486"/>
    <w:rsid w:val="00EF0209"/>
    <w:rsid w:val="00EF2330"/>
    <w:rsid w:val="00EF36B1"/>
    <w:rsid w:val="00EF3E5E"/>
    <w:rsid w:val="00EF5554"/>
    <w:rsid w:val="00F0171F"/>
    <w:rsid w:val="00F01D6D"/>
    <w:rsid w:val="00F048A1"/>
    <w:rsid w:val="00F067EF"/>
    <w:rsid w:val="00F068A8"/>
    <w:rsid w:val="00F07228"/>
    <w:rsid w:val="00F11D1A"/>
    <w:rsid w:val="00F1220B"/>
    <w:rsid w:val="00F16C36"/>
    <w:rsid w:val="00F31451"/>
    <w:rsid w:val="00F31539"/>
    <w:rsid w:val="00F31687"/>
    <w:rsid w:val="00F32E10"/>
    <w:rsid w:val="00F43B2D"/>
    <w:rsid w:val="00F473BC"/>
    <w:rsid w:val="00F56A9B"/>
    <w:rsid w:val="00F65AD4"/>
    <w:rsid w:val="00F66C0C"/>
    <w:rsid w:val="00F6762D"/>
    <w:rsid w:val="00F70E7B"/>
    <w:rsid w:val="00F7183C"/>
    <w:rsid w:val="00F72422"/>
    <w:rsid w:val="00F72BFB"/>
    <w:rsid w:val="00F76B62"/>
    <w:rsid w:val="00F834EA"/>
    <w:rsid w:val="00F84088"/>
    <w:rsid w:val="00F874AD"/>
    <w:rsid w:val="00F95015"/>
    <w:rsid w:val="00F97434"/>
    <w:rsid w:val="00F9752D"/>
    <w:rsid w:val="00FA280C"/>
    <w:rsid w:val="00FA3F8B"/>
    <w:rsid w:val="00FA462E"/>
    <w:rsid w:val="00FA6DD0"/>
    <w:rsid w:val="00FB5B96"/>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3867E"/>
  <w15:chartTrackingRefBased/>
  <w15:docId w15:val="{FEF5860D-2124-4898-BE99-110418FE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Patricia Sallen</cp:lastModifiedBy>
  <cp:revision>5</cp:revision>
  <cp:lastPrinted>2022-10-03T16:44:00Z</cp:lastPrinted>
  <dcterms:created xsi:type="dcterms:W3CDTF">2022-10-02T19:59:00Z</dcterms:created>
  <dcterms:modified xsi:type="dcterms:W3CDTF">2022-10-03T16:46:00Z</dcterms:modified>
</cp:coreProperties>
</file>