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A7E60" w14:textId="77777777" w:rsidR="001C63B2" w:rsidRPr="004F2D57" w:rsidRDefault="001C63B2" w:rsidP="001C63B2">
      <w:pPr>
        <w:pStyle w:val="Court"/>
        <w:spacing w:line="508" w:lineRule="exact"/>
        <w:jc w:val="left"/>
        <w:rPr>
          <w:b/>
          <w:sz w:val="28"/>
          <w:szCs w:val="28"/>
        </w:rPr>
      </w:pPr>
    </w:p>
    <w:p w14:paraId="6D1F0436" w14:textId="5BAF5ECF" w:rsidR="001C63B2" w:rsidRPr="0059763D" w:rsidRDefault="003230E4" w:rsidP="001C63B2">
      <w:pPr>
        <w:pStyle w:val="Court"/>
        <w:spacing w:line="240" w:lineRule="auto"/>
        <w:rPr>
          <w:b/>
          <w:sz w:val="28"/>
          <w:szCs w:val="28"/>
        </w:rPr>
      </w:pPr>
      <w:r>
        <w:rPr>
          <w:b/>
          <w:sz w:val="28"/>
          <w:szCs w:val="28"/>
        </w:rPr>
        <w:t>APPENDIX A</w:t>
      </w:r>
      <w:r>
        <w:rPr>
          <w:b/>
          <w:sz w:val="28"/>
          <w:szCs w:val="28"/>
        </w:rPr>
        <w:br/>
        <w:t>CIVIL PRACTICE &amp; PROCEDURE COMMITTEE</w:t>
      </w:r>
      <w:r>
        <w:rPr>
          <w:b/>
          <w:sz w:val="28"/>
          <w:szCs w:val="28"/>
        </w:rPr>
        <w:br/>
        <w:t>COMMENT AND RECOMMENDATION</w:t>
      </w:r>
    </w:p>
    <w:p w14:paraId="18E39045" w14:textId="77777777" w:rsidR="001C63B2" w:rsidRPr="0059763D" w:rsidRDefault="001C63B2" w:rsidP="001C63B2">
      <w:pPr>
        <w:pStyle w:val="Body"/>
        <w:widowControl w:val="0"/>
        <w:spacing w:line="240" w:lineRule="auto"/>
        <w:ind w:firstLine="0"/>
        <w:rPr>
          <w:b/>
          <w:sz w:val="28"/>
          <w:szCs w:val="28"/>
        </w:rPr>
      </w:pPr>
    </w:p>
    <w:p w14:paraId="4119DACF" w14:textId="0F6D498F" w:rsidR="00FA7C4D" w:rsidRPr="0059763D" w:rsidRDefault="001111CB" w:rsidP="0059763D">
      <w:pPr>
        <w:pStyle w:val="Body"/>
        <w:widowControl w:val="0"/>
        <w:spacing w:line="480" w:lineRule="auto"/>
        <w:ind w:firstLine="720"/>
        <w:jc w:val="both"/>
        <w:rPr>
          <w:sz w:val="28"/>
          <w:szCs w:val="28"/>
        </w:rPr>
      </w:pPr>
      <w:r w:rsidRPr="0059763D">
        <w:rPr>
          <w:sz w:val="28"/>
          <w:szCs w:val="28"/>
        </w:rPr>
        <w:t xml:space="preserve">On December 8, 2021, pursuant to Rule 28(h)(2), Rules of the Supreme Court of Arizona, </w:t>
      </w:r>
      <w:r w:rsidR="007E0F54" w:rsidRPr="0059763D">
        <w:rPr>
          <w:sz w:val="28"/>
          <w:szCs w:val="28"/>
        </w:rPr>
        <w:t>this Court</w:t>
      </w:r>
      <w:r w:rsidR="00311E4C" w:rsidRPr="0059763D">
        <w:rPr>
          <w:sz w:val="28"/>
          <w:szCs w:val="28"/>
        </w:rPr>
        <w:t xml:space="preserve"> amend</w:t>
      </w:r>
      <w:r w:rsidR="007E0F54" w:rsidRPr="0059763D">
        <w:rPr>
          <w:sz w:val="28"/>
          <w:szCs w:val="28"/>
        </w:rPr>
        <w:t>ed</w:t>
      </w:r>
      <w:r w:rsidR="00311E4C" w:rsidRPr="0059763D">
        <w:rPr>
          <w:sz w:val="28"/>
          <w:szCs w:val="28"/>
        </w:rPr>
        <w:t xml:space="preserve"> </w:t>
      </w:r>
      <w:r w:rsidRPr="0059763D">
        <w:rPr>
          <w:sz w:val="28"/>
          <w:szCs w:val="28"/>
        </w:rPr>
        <w:t>on an emergency basis Rules 16.3, 18.3, 18.4, and 18.5, Rules of Criminal Procedure; Rules 16 and 47, Rules of Civil Procedure; Rule 134, Justice Court Rules of Civil Procedure; and Rule 12, Rules of Procedure for Eviction Actions</w:t>
      </w:r>
      <w:r w:rsidR="007E0F54" w:rsidRPr="0059763D">
        <w:rPr>
          <w:sz w:val="28"/>
          <w:szCs w:val="28"/>
        </w:rPr>
        <w:t>, effective January 1, 2022</w:t>
      </w:r>
      <w:r w:rsidRPr="0059763D">
        <w:rPr>
          <w:sz w:val="28"/>
          <w:szCs w:val="28"/>
        </w:rPr>
        <w:t xml:space="preserve">. </w:t>
      </w:r>
      <w:r w:rsidR="00311E4C" w:rsidRPr="0059763D">
        <w:rPr>
          <w:sz w:val="28"/>
          <w:szCs w:val="28"/>
        </w:rPr>
        <w:t xml:space="preserve">The Court’s action on </w:t>
      </w:r>
      <w:r w:rsidRPr="0059763D">
        <w:rPr>
          <w:sz w:val="28"/>
          <w:szCs w:val="28"/>
        </w:rPr>
        <w:t xml:space="preserve">R-21-0045 adopted </w:t>
      </w:r>
      <w:r w:rsidR="00311E4C" w:rsidRPr="0059763D">
        <w:rPr>
          <w:sz w:val="28"/>
          <w:szCs w:val="28"/>
        </w:rPr>
        <w:t>the proposals</w:t>
      </w:r>
      <w:r w:rsidRPr="0059763D">
        <w:rPr>
          <w:sz w:val="28"/>
          <w:szCs w:val="28"/>
        </w:rPr>
        <w:t xml:space="preserve"> of the </w:t>
      </w:r>
      <w:r w:rsidR="003179F3" w:rsidRPr="0059763D">
        <w:rPr>
          <w:sz w:val="28"/>
          <w:szCs w:val="28"/>
        </w:rPr>
        <w:t>Task Force on Jury Data Collection, Practices, and Policies</w:t>
      </w:r>
      <w:r w:rsidR="00B331AE" w:rsidRPr="0059763D">
        <w:rPr>
          <w:sz w:val="28"/>
          <w:szCs w:val="28"/>
        </w:rPr>
        <w:t xml:space="preserve"> (“Task Force”)</w:t>
      </w:r>
      <w:r w:rsidRPr="0059763D">
        <w:rPr>
          <w:sz w:val="28"/>
          <w:szCs w:val="28"/>
        </w:rPr>
        <w:t xml:space="preserve">, </w:t>
      </w:r>
      <w:r w:rsidR="00311E4C" w:rsidRPr="0059763D">
        <w:rPr>
          <w:sz w:val="28"/>
          <w:szCs w:val="28"/>
        </w:rPr>
        <w:t>c</w:t>
      </w:r>
      <w:r w:rsidRPr="0059763D">
        <w:rPr>
          <w:sz w:val="28"/>
          <w:szCs w:val="28"/>
        </w:rPr>
        <w:t xml:space="preserve">haired by </w:t>
      </w:r>
      <w:r w:rsidR="00311E4C" w:rsidRPr="0059763D">
        <w:rPr>
          <w:sz w:val="28"/>
          <w:szCs w:val="28"/>
        </w:rPr>
        <w:t>t</w:t>
      </w:r>
      <w:r w:rsidRPr="0059763D">
        <w:rPr>
          <w:sz w:val="28"/>
          <w:szCs w:val="28"/>
        </w:rPr>
        <w:t>he Honorable Pamela S. Gates</w:t>
      </w:r>
      <w:r w:rsidR="00311E4C" w:rsidRPr="0059763D">
        <w:rPr>
          <w:sz w:val="28"/>
          <w:szCs w:val="28"/>
        </w:rPr>
        <w:t>, and the Task Force’s</w:t>
      </w:r>
      <w:r w:rsidR="003179F3" w:rsidRPr="0059763D">
        <w:rPr>
          <w:sz w:val="28"/>
          <w:szCs w:val="28"/>
        </w:rPr>
        <w:t xml:space="preserve"> Statewide Jury Selection </w:t>
      </w:r>
      <w:r w:rsidR="00311E4C" w:rsidRPr="0059763D">
        <w:rPr>
          <w:sz w:val="28"/>
          <w:szCs w:val="28"/>
        </w:rPr>
        <w:t>Workgroup</w:t>
      </w:r>
      <w:r w:rsidR="00B331AE" w:rsidRPr="0059763D">
        <w:rPr>
          <w:sz w:val="28"/>
          <w:szCs w:val="28"/>
        </w:rPr>
        <w:t xml:space="preserve"> (“SJSW”)</w:t>
      </w:r>
      <w:r w:rsidR="00311E4C" w:rsidRPr="0059763D">
        <w:rPr>
          <w:sz w:val="28"/>
          <w:szCs w:val="28"/>
        </w:rPr>
        <w:t xml:space="preserve">. </w:t>
      </w:r>
    </w:p>
    <w:p w14:paraId="32BA0568" w14:textId="3ABCDDDC" w:rsidR="00990F51" w:rsidRDefault="00311E4C" w:rsidP="0059763D">
      <w:pPr>
        <w:pStyle w:val="Body"/>
        <w:widowControl w:val="0"/>
        <w:spacing w:line="480" w:lineRule="auto"/>
        <w:ind w:firstLine="720"/>
        <w:jc w:val="both"/>
        <w:rPr>
          <w:sz w:val="28"/>
          <w:szCs w:val="28"/>
        </w:rPr>
      </w:pPr>
      <w:r w:rsidRPr="0059763D">
        <w:rPr>
          <w:sz w:val="28"/>
          <w:szCs w:val="28"/>
        </w:rPr>
        <w:t xml:space="preserve">Those </w:t>
      </w:r>
      <w:r w:rsidR="007E0F54" w:rsidRPr="0059763D">
        <w:rPr>
          <w:sz w:val="28"/>
          <w:szCs w:val="28"/>
        </w:rPr>
        <w:t>groups</w:t>
      </w:r>
      <w:r w:rsidRPr="0059763D">
        <w:rPr>
          <w:sz w:val="28"/>
          <w:szCs w:val="28"/>
        </w:rPr>
        <w:t xml:space="preserve"> </w:t>
      </w:r>
      <w:r w:rsidR="003179F3" w:rsidRPr="0059763D">
        <w:rPr>
          <w:sz w:val="28"/>
          <w:szCs w:val="28"/>
        </w:rPr>
        <w:t>proposed</w:t>
      </w:r>
      <w:r w:rsidRPr="0059763D">
        <w:rPr>
          <w:sz w:val="28"/>
          <w:szCs w:val="28"/>
        </w:rPr>
        <w:t xml:space="preserve"> rule</w:t>
      </w:r>
      <w:r w:rsidR="003179F3" w:rsidRPr="0059763D">
        <w:rPr>
          <w:sz w:val="28"/>
          <w:szCs w:val="28"/>
        </w:rPr>
        <w:t xml:space="preserve"> amendments to enhance jury selection </w:t>
      </w:r>
      <w:r w:rsidRPr="0059763D">
        <w:rPr>
          <w:sz w:val="28"/>
          <w:szCs w:val="28"/>
        </w:rPr>
        <w:t>in the absence of peremptory challenges, which this Court’s August 24, 2021 action on R-21-0020</w:t>
      </w:r>
      <w:r w:rsidR="0059763D">
        <w:rPr>
          <w:sz w:val="28"/>
          <w:szCs w:val="28"/>
        </w:rPr>
        <w:t xml:space="preserve"> eliminated</w:t>
      </w:r>
      <w:r w:rsidR="00FA7C4D" w:rsidRPr="0059763D">
        <w:rPr>
          <w:sz w:val="28"/>
          <w:szCs w:val="28"/>
        </w:rPr>
        <w:t>.</w:t>
      </w:r>
      <w:r w:rsidRPr="0059763D">
        <w:rPr>
          <w:sz w:val="28"/>
          <w:szCs w:val="28"/>
        </w:rPr>
        <w:t xml:space="preserve"> </w:t>
      </w:r>
      <w:r w:rsidR="00FA7C4D" w:rsidRPr="0059763D">
        <w:rPr>
          <w:sz w:val="28"/>
          <w:szCs w:val="28"/>
        </w:rPr>
        <w:t>In its Order for emergency adoption, the Court opened R-21-0045 for public comment. This is the comment of the State Bar of Arizona</w:t>
      </w:r>
      <w:r w:rsidR="000F5F8E">
        <w:rPr>
          <w:sz w:val="28"/>
          <w:szCs w:val="28"/>
        </w:rPr>
        <w:t>’s Civil Practice and Procedure Committee</w:t>
      </w:r>
      <w:r w:rsidR="00FA7C4D" w:rsidRPr="0059763D">
        <w:rPr>
          <w:sz w:val="28"/>
          <w:szCs w:val="28"/>
        </w:rPr>
        <w:t>, which largely supports the rule changes, but also respectfully suggests minor modifications to the</w:t>
      </w:r>
      <w:r w:rsidR="001907B7">
        <w:rPr>
          <w:sz w:val="28"/>
          <w:szCs w:val="28"/>
        </w:rPr>
        <w:t>m</w:t>
      </w:r>
      <w:r w:rsidR="00990F51">
        <w:rPr>
          <w:sz w:val="28"/>
          <w:szCs w:val="28"/>
        </w:rPr>
        <w:t>.</w:t>
      </w:r>
    </w:p>
    <w:p w14:paraId="326D75E5" w14:textId="7463D988" w:rsidR="006F1962" w:rsidRPr="0059763D" w:rsidRDefault="00B331AE" w:rsidP="005B74CB">
      <w:pPr>
        <w:pStyle w:val="ListParagraph"/>
        <w:numPr>
          <w:ilvl w:val="0"/>
          <w:numId w:val="5"/>
        </w:numPr>
        <w:spacing w:line="480" w:lineRule="auto"/>
        <w:jc w:val="both"/>
        <w:rPr>
          <w:b/>
          <w:sz w:val="28"/>
          <w:szCs w:val="28"/>
          <w:u w:val="single"/>
        </w:rPr>
      </w:pPr>
      <w:r w:rsidRPr="0059763D">
        <w:rPr>
          <w:b/>
          <w:sz w:val="28"/>
          <w:szCs w:val="28"/>
          <w:u w:val="single"/>
        </w:rPr>
        <w:t>Introduction</w:t>
      </w:r>
    </w:p>
    <w:p w14:paraId="6832652D" w14:textId="798523F1" w:rsidR="00591BDB" w:rsidRPr="0059763D" w:rsidRDefault="00A9047B" w:rsidP="005B74CB">
      <w:pPr>
        <w:pStyle w:val="ListParagraph"/>
        <w:spacing w:line="480" w:lineRule="auto"/>
        <w:ind w:left="0" w:firstLine="720"/>
        <w:jc w:val="both"/>
        <w:rPr>
          <w:sz w:val="28"/>
          <w:szCs w:val="28"/>
        </w:rPr>
      </w:pPr>
      <w:r w:rsidRPr="0059763D">
        <w:rPr>
          <w:sz w:val="28"/>
          <w:szCs w:val="28"/>
        </w:rPr>
        <w:t>The Task Force</w:t>
      </w:r>
      <w:r w:rsidR="007E0F54" w:rsidRPr="0059763D">
        <w:rPr>
          <w:sz w:val="28"/>
          <w:szCs w:val="28"/>
        </w:rPr>
        <w:t xml:space="preserve"> and SJSW</w:t>
      </w:r>
      <w:r w:rsidRPr="0059763D">
        <w:rPr>
          <w:sz w:val="28"/>
          <w:szCs w:val="28"/>
        </w:rPr>
        <w:t xml:space="preserve"> made significant recommendations to improve the overall functioning of the jury selection process</w:t>
      </w:r>
      <w:r w:rsidR="00D252F0" w:rsidRPr="0059763D">
        <w:rPr>
          <w:sz w:val="28"/>
          <w:szCs w:val="28"/>
        </w:rPr>
        <w:t>. These recommendations included</w:t>
      </w:r>
      <w:r w:rsidRPr="0059763D">
        <w:rPr>
          <w:sz w:val="28"/>
          <w:szCs w:val="28"/>
        </w:rPr>
        <w:t xml:space="preserve"> </w:t>
      </w:r>
      <w:r w:rsidR="007E0F54" w:rsidRPr="0059763D">
        <w:rPr>
          <w:sz w:val="28"/>
          <w:szCs w:val="28"/>
        </w:rPr>
        <w:lastRenderedPageBreak/>
        <w:t>public education about jury service,</w:t>
      </w:r>
      <w:r w:rsidRPr="0059763D">
        <w:rPr>
          <w:sz w:val="28"/>
          <w:szCs w:val="28"/>
        </w:rPr>
        <w:t xml:space="preserve"> significantly increasing the pay of jurors for their service</w:t>
      </w:r>
      <w:r w:rsidR="007E0F54" w:rsidRPr="0059763D">
        <w:rPr>
          <w:sz w:val="28"/>
          <w:szCs w:val="28"/>
        </w:rPr>
        <w:t>, and the modified rules at issue here</w:t>
      </w:r>
      <w:r w:rsidRPr="0059763D">
        <w:rPr>
          <w:sz w:val="28"/>
          <w:szCs w:val="28"/>
        </w:rPr>
        <w:t>.</w:t>
      </w:r>
      <w:r w:rsidR="00B331AE" w:rsidRPr="0059763D">
        <w:rPr>
          <w:sz w:val="28"/>
          <w:szCs w:val="28"/>
        </w:rPr>
        <w:t xml:space="preserve"> </w:t>
      </w:r>
      <w:r w:rsidR="007E0F54" w:rsidRPr="0059763D">
        <w:rPr>
          <w:sz w:val="28"/>
          <w:szCs w:val="28"/>
        </w:rPr>
        <w:t>Both groups</w:t>
      </w:r>
      <w:r w:rsidR="00B331AE" w:rsidRPr="0059763D">
        <w:rPr>
          <w:sz w:val="28"/>
          <w:szCs w:val="28"/>
        </w:rPr>
        <w:t xml:space="preserve"> produced reports in a scope and level of attention to detail that is nothing short of impressive </w:t>
      </w:r>
      <w:r w:rsidR="007E0F54" w:rsidRPr="0059763D">
        <w:rPr>
          <w:sz w:val="28"/>
          <w:szCs w:val="28"/>
        </w:rPr>
        <w:t>in the short time allowed</w:t>
      </w:r>
      <w:r w:rsidR="00B331AE" w:rsidRPr="0059763D">
        <w:rPr>
          <w:sz w:val="28"/>
          <w:szCs w:val="28"/>
        </w:rPr>
        <w:t xml:space="preserve">. This Court’s action on those groups’ proposals resulted in considered, yet expedited, amendments to </w:t>
      </w:r>
      <w:r w:rsidR="0059763D">
        <w:rPr>
          <w:sz w:val="28"/>
          <w:szCs w:val="28"/>
        </w:rPr>
        <w:t>C</w:t>
      </w:r>
      <w:r w:rsidR="0059763D" w:rsidRPr="0059763D">
        <w:rPr>
          <w:sz w:val="28"/>
          <w:szCs w:val="28"/>
        </w:rPr>
        <w:t xml:space="preserve">ivil </w:t>
      </w:r>
      <w:r w:rsidR="0059763D">
        <w:rPr>
          <w:sz w:val="28"/>
          <w:szCs w:val="28"/>
        </w:rPr>
        <w:t>R</w:t>
      </w:r>
      <w:r w:rsidR="0059763D" w:rsidRPr="0059763D">
        <w:rPr>
          <w:sz w:val="28"/>
          <w:szCs w:val="28"/>
        </w:rPr>
        <w:t xml:space="preserve">ules </w:t>
      </w:r>
      <w:r w:rsidR="00B331AE" w:rsidRPr="0059763D">
        <w:rPr>
          <w:sz w:val="28"/>
          <w:szCs w:val="28"/>
        </w:rPr>
        <w:t xml:space="preserve">16 and 47, as well as new Comments to revised </w:t>
      </w:r>
      <w:r w:rsidR="0059763D">
        <w:rPr>
          <w:sz w:val="28"/>
          <w:szCs w:val="28"/>
        </w:rPr>
        <w:t>R</w:t>
      </w:r>
      <w:r w:rsidR="0059763D" w:rsidRPr="0059763D">
        <w:rPr>
          <w:sz w:val="28"/>
          <w:szCs w:val="28"/>
        </w:rPr>
        <w:t xml:space="preserve">ules </w:t>
      </w:r>
      <w:r w:rsidR="00B331AE" w:rsidRPr="0059763D">
        <w:rPr>
          <w:sz w:val="28"/>
          <w:szCs w:val="28"/>
        </w:rPr>
        <w:t>47(c)(3) and 47(c)(5) and an amended comment to Rule 47(a). The State Bar</w:t>
      </w:r>
      <w:r w:rsidR="000F5F8E">
        <w:rPr>
          <w:sz w:val="28"/>
          <w:szCs w:val="28"/>
        </w:rPr>
        <w:t>’s</w:t>
      </w:r>
      <w:r w:rsidR="00B331AE" w:rsidRPr="0059763D">
        <w:rPr>
          <w:sz w:val="28"/>
          <w:szCs w:val="28"/>
        </w:rPr>
        <w:t xml:space="preserve"> </w:t>
      </w:r>
      <w:r w:rsidR="000F5F8E">
        <w:rPr>
          <w:sz w:val="28"/>
          <w:szCs w:val="28"/>
        </w:rPr>
        <w:t>Civil Practice and Procedure Committee</w:t>
      </w:r>
      <w:r w:rsidR="00B331AE" w:rsidRPr="0059763D">
        <w:rPr>
          <w:sz w:val="28"/>
          <w:szCs w:val="28"/>
        </w:rPr>
        <w:t xml:space="preserve"> is in favor of those changes and new and revised Comments, with some limited exceptions</w:t>
      </w:r>
      <w:r w:rsidR="00122AE0">
        <w:rPr>
          <w:sz w:val="28"/>
          <w:szCs w:val="28"/>
        </w:rPr>
        <w:t xml:space="preserve">. </w:t>
      </w:r>
      <w:r w:rsidR="00766590" w:rsidRPr="0059763D">
        <w:rPr>
          <w:sz w:val="28"/>
          <w:szCs w:val="28"/>
        </w:rPr>
        <w:t xml:space="preserve">  </w:t>
      </w:r>
    </w:p>
    <w:p w14:paraId="7BCEFDA5" w14:textId="5AD80D29" w:rsidR="006F1962" w:rsidRPr="0059763D" w:rsidRDefault="006F1962" w:rsidP="005B74CB">
      <w:pPr>
        <w:pStyle w:val="ListParagraph"/>
        <w:numPr>
          <w:ilvl w:val="0"/>
          <w:numId w:val="7"/>
        </w:numPr>
        <w:spacing w:after="240" w:line="240" w:lineRule="auto"/>
        <w:jc w:val="both"/>
        <w:rPr>
          <w:b/>
          <w:sz w:val="28"/>
          <w:szCs w:val="28"/>
        </w:rPr>
      </w:pPr>
      <w:r w:rsidRPr="0059763D">
        <w:rPr>
          <w:b/>
          <w:sz w:val="28"/>
          <w:szCs w:val="28"/>
        </w:rPr>
        <w:t>Specific goals and purpose of the changes to Arizona Rules of Civil Procedure 16 &amp; 47</w:t>
      </w:r>
    </w:p>
    <w:p w14:paraId="7B0CFEFA" w14:textId="31EE4FEF" w:rsidR="00524D80" w:rsidRPr="0059763D" w:rsidRDefault="00524D80" w:rsidP="005B74CB">
      <w:pPr>
        <w:spacing w:line="480" w:lineRule="auto"/>
        <w:ind w:firstLine="720"/>
        <w:jc w:val="both"/>
        <w:rPr>
          <w:sz w:val="28"/>
          <w:szCs w:val="28"/>
        </w:rPr>
      </w:pPr>
      <w:r w:rsidRPr="0059763D">
        <w:rPr>
          <w:sz w:val="28"/>
          <w:szCs w:val="28"/>
        </w:rPr>
        <w:t>Per the Task Force Report, changes to Arizona Rules of Civil Procedure 16 and 47 are</w:t>
      </w:r>
      <w:r w:rsidR="000200D0" w:rsidRPr="0059763D">
        <w:rPr>
          <w:sz w:val="28"/>
          <w:szCs w:val="28"/>
        </w:rPr>
        <w:t xml:space="preserve"> designed</w:t>
      </w:r>
      <w:r w:rsidRPr="0059763D">
        <w:rPr>
          <w:sz w:val="28"/>
          <w:szCs w:val="28"/>
        </w:rPr>
        <w:t xml:space="preserve"> “</w:t>
      </w:r>
      <w:r w:rsidR="000200D0" w:rsidRPr="0059763D">
        <w:rPr>
          <w:sz w:val="28"/>
          <w:szCs w:val="28"/>
        </w:rPr>
        <w:t>[t]</w:t>
      </w:r>
      <w:r w:rsidRPr="0059763D">
        <w:rPr>
          <w:sz w:val="28"/>
          <w:szCs w:val="28"/>
        </w:rPr>
        <w:t xml:space="preserve">o implement proposed changes to </w:t>
      </w:r>
      <w:r w:rsidRPr="0059763D">
        <w:rPr>
          <w:i/>
          <w:sz w:val="28"/>
          <w:szCs w:val="28"/>
        </w:rPr>
        <w:t>voir dire</w:t>
      </w:r>
      <w:r w:rsidRPr="0059763D">
        <w:rPr>
          <w:sz w:val="28"/>
          <w:szCs w:val="28"/>
        </w:rPr>
        <w:t xml:space="preserve"> in the post-peremptory challenge landscape</w:t>
      </w:r>
      <w:r w:rsidR="00B813B6" w:rsidRPr="0059763D">
        <w:rPr>
          <w:sz w:val="28"/>
          <w:szCs w:val="28"/>
        </w:rPr>
        <w:t xml:space="preserve"> . . </w:t>
      </w:r>
      <w:r w:rsidR="00122AE0">
        <w:rPr>
          <w:sz w:val="28"/>
          <w:szCs w:val="28"/>
        </w:rPr>
        <w:t xml:space="preserve">. </w:t>
      </w:r>
      <w:r w:rsidRPr="0059763D">
        <w:rPr>
          <w:sz w:val="28"/>
          <w:szCs w:val="28"/>
        </w:rPr>
        <w:t>These materials are designed to provide more robust jury selection practice that will secure better quality information for the exercise of for-cause strikes.”</w:t>
      </w:r>
      <w:r w:rsidRPr="0059763D">
        <w:rPr>
          <w:rStyle w:val="FootnoteReference"/>
          <w:sz w:val="28"/>
          <w:szCs w:val="28"/>
        </w:rPr>
        <w:footnoteReference w:id="1"/>
      </w:r>
      <w:r w:rsidRPr="0059763D">
        <w:rPr>
          <w:sz w:val="28"/>
          <w:szCs w:val="28"/>
        </w:rPr>
        <w:t xml:space="preserve">  </w:t>
      </w:r>
    </w:p>
    <w:p w14:paraId="280D297C" w14:textId="3B1F95B6" w:rsidR="00524D80" w:rsidRPr="0059763D" w:rsidRDefault="00524D80" w:rsidP="009B08C7">
      <w:pPr>
        <w:spacing w:line="480" w:lineRule="auto"/>
        <w:ind w:firstLine="720"/>
        <w:jc w:val="both"/>
        <w:rPr>
          <w:sz w:val="28"/>
          <w:szCs w:val="28"/>
        </w:rPr>
      </w:pPr>
      <w:r w:rsidRPr="0059763D">
        <w:rPr>
          <w:sz w:val="28"/>
          <w:szCs w:val="28"/>
        </w:rPr>
        <w:t>The Task Force</w:t>
      </w:r>
      <w:r w:rsidR="000200D0" w:rsidRPr="0059763D">
        <w:rPr>
          <w:sz w:val="28"/>
          <w:szCs w:val="28"/>
        </w:rPr>
        <w:t>’s</w:t>
      </w:r>
      <w:r w:rsidRPr="0059763D">
        <w:rPr>
          <w:sz w:val="28"/>
          <w:szCs w:val="28"/>
        </w:rPr>
        <w:t xml:space="preserve"> </w:t>
      </w:r>
      <w:r w:rsidR="000200D0" w:rsidRPr="0059763D">
        <w:rPr>
          <w:sz w:val="28"/>
          <w:szCs w:val="28"/>
        </w:rPr>
        <w:t>best practices and recommended aims for voir dire include</w:t>
      </w:r>
      <w:r w:rsidRPr="0059763D">
        <w:rPr>
          <w:sz w:val="28"/>
          <w:szCs w:val="28"/>
        </w:rPr>
        <w:t xml:space="preserve">: </w:t>
      </w:r>
    </w:p>
    <w:p w14:paraId="0BB66FBD" w14:textId="52330A74" w:rsidR="00524D80" w:rsidRPr="0059763D" w:rsidRDefault="00524D80" w:rsidP="005B74CB">
      <w:pPr>
        <w:spacing w:line="480" w:lineRule="auto"/>
        <w:ind w:left="1440" w:hanging="720"/>
        <w:jc w:val="both"/>
        <w:rPr>
          <w:sz w:val="28"/>
          <w:szCs w:val="28"/>
        </w:rPr>
      </w:pPr>
      <w:r w:rsidRPr="0059763D">
        <w:rPr>
          <w:sz w:val="28"/>
          <w:szCs w:val="28"/>
        </w:rPr>
        <w:t>1)</w:t>
      </w:r>
      <w:r w:rsidRPr="0059763D">
        <w:rPr>
          <w:sz w:val="28"/>
          <w:szCs w:val="28"/>
        </w:rPr>
        <w:tab/>
        <w:t xml:space="preserve">Employing written or online case-specific questionnaires to obtain answers to questions that may be more sensitive or private, such as </w:t>
      </w:r>
      <w:r w:rsidRPr="0059763D">
        <w:rPr>
          <w:sz w:val="28"/>
          <w:szCs w:val="28"/>
        </w:rPr>
        <w:lastRenderedPageBreak/>
        <w:t>information the juror may know about the case, a juror</w:t>
      </w:r>
      <w:r w:rsidR="007E0F54" w:rsidRPr="0059763D">
        <w:rPr>
          <w:sz w:val="28"/>
          <w:szCs w:val="28"/>
        </w:rPr>
        <w:t>’</w:t>
      </w:r>
      <w:r w:rsidRPr="0059763D">
        <w:rPr>
          <w:sz w:val="28"/>
          <w:szCs w:val="28"/>
        </w:rPr>
        <w:t xml:space="preserve">s opinions or attitudes regarding relevant issues, and prior pertinent life experiences;  </w:t>
      </w:r>
    </w:p>
    <w:p w14:paraId="70E95935" w14:textId="77777777" w:rsidR="00524D80" w:rsidRPr="0059763D" w:rsidRDefault="00524D80" w:rsidP="005B74CB">
      <w:pPr>
        <w:spacing w:line="480" w:lineRule="auto"/>
        <w:ind w:firstLine="720"/>
        <w:jc w:val="both"/>
        <w:rPr>
          <w:sz w:val="28"/>
          <w:szCs w:val="28"/>
        </w:rPr>
      </w:pPr>
      <w:r w:rsidRPr="0059763D">
        <w:rPr>
          <w:sz w:val="28"/>
          <w:szCs w:val="28"/>
        </w:rPr>
        <w:t>2)</w:t>
      </w:r>
      <w:r w:rsidRPr="0059763D">
        <w:rPr>
          <w:sz w:val="28"/>
          <w:szCs w:val="28"/>
        </w:rPr>
        <w:tab/>
        <w:t>A blend of open-ended and close-ended questions;</w:t>
      </w:r>
    </w:p>
    <w:p w14:paraId="43104542" w14:textId="4FA0F48C" w:rsidR="00524D80" w:rsidRPr="0059763D" w:rsidRDefault="00524D80" w:rsidP="005B74CB">
      <w:pPr>
        <w:spacing w:line="480" w:lineRule="auto"/>
        <w:ind w:firstLine="720"/>
        <w:jc w:val="both"/>
        <w:rPr>
          <w:sz w:val="28"/>
          <w:szCs w:val="28"/>
        </w:rPr>
      </w:pPr>
      <w:r w:rsidRPr="0059763D">
        <w:rPr>
          <w:sz w:val="28"/>
          <w:szCs w:val="28"/>
        </w:rPr>
        <w:t>3)</w:t>
      </w:r>
      <w:r w:rsidRPr="0059763D">
        <w:rPr>
          <w:sz w:val="28"/>
          <w:szCs w:val="28"/>
        </w:rPr>
        <w:tab/>
        <w:t xml:space="preserve">Limiting questionnaires to </w:t>
      </w:r>
      <w:r w:rsidR="002070F7">
        <w:rPr>
          <w:sz w:val="28"/>
          <w:szCs w:val="28"/>
        </w:rPr>
        <w:t xml:space="preserve">fewer </w:t>
      </w:r>
      <w:r w:rsidRPr="0059763D">
        <w:rPr>
          <w:sz w:val="28"/>
          <w:szCs w:val="28"/>
        </w:rPr>
        <w:t>than 60 questions;</w:t>
      </w:r>
    </w:p>
    <w:p w14:paraId="623DCA51" w14:textId="77777777" w:rsidR="00524D80" w:rsidRPr="0059763D" w:rsidRDefault="00524D80" w:rsidP="005B74CB">
      <w:pPr>
        <w:spacing w:line="480" w:lineRule="auto"/>
        <w:ind w:left="1440" w:hanging="720"/>
        <w:jc w:val="both"/>
        <w:rPr>
          <w:sz w:val="28"/>
          <w:szCs w:val="28"/>
        </w:rPr>
      </w:pPr>
      <w:r w:rsidRPr="0059763D">
        <w:rPr>
          <w:sz w:val="28"/>
          <w:szCs w:val="28"/>
        </w:rPr>
        <w:t>4)</w:t>
      </w:r>
      <w:r w:rsidRPr="0059763D">
        <w:rPr>
          <w:sz w:val="28"/>
          <w:szCs w:val="28"/>
        </w:rPr>
        <w:tab/>
        <w:t xml:space="preserve">Asking questions during oral </w:t>
      </w:r>
      <w:r w:rsidRPr="0059763D">
        <w:rPr>
          <w:i/>
          <w:sz w:val="28"/>
          <w:szCs w:val="28"/>
        </w:rPr>
        <w:t>voir dire</w:t>
      </w:r>
      <w:r w:rsidRPr="0059763D">
        <w:rPr>
          <w:sz w:val="28"/>
          <w:szCs w:val="28"/>
        </w:rPr>
        <w:t xml:space="preserve"> that avoid leading a juror to a socially appropriate answer;</w:t>
      </w:r>
    </w:p>
    <w:p w14:paraId="7787815B" w14:textId="5EE731CF" w:rsidR="00524D80" w:rsidRPr="0059763D" w:rsidRDefault="00524D80" w:rsidP="005B74CB">
      <w:pPr>
        <w:spacing w:line="480" w:lineRule="auto"/>
        <w:ind w:left="1440" w:hanging="720"/>
        <w:jc w:val="both"/>
        <w:rPr>
          <w:sz w:val="28"/>
          <w:szCs w:val="28"/>
        </w:rPr>
      </w:pPr>
      <w:r w:rsidRPr="0059763D">
        <w:rPr>
          <w:sz w:val="28"/>
          <w:szCs w:val="28"/>
        </w:rPr>
        <w:t>5)</w:t>
      </w:r>
      <w:r w:rsidRPr="0059763D">
        <w:rPr>
          <w:sz w:val="28"/>
          <w:szCs w:val="28"/>
        </w:rPr>
        <w:tab/>
        <w:t>Providing the jurors with information and instruction on the importance of disclosing and discussing attitudes, beliefs, opinions, and life experiences that may affect a juror's ability to be fair and impartial;</w:t>
      </w:r>
    </w:p>
    <w:p w14:paraId="247A6A89" w14:textId="6F0BB079" w:rsidR="00524D80" w:rsidRPr="0059763D" w:rsidRDefault="00524D80" w:rsidP="005B74CB">
      <w:pPr>
        <w:spacing w:line="480" w:lineRule="auto"/>
        <w:ind w:firstLine="720"/>
        <w:jc w:val="both"/>
        <w:rPr>
          <w:sz w:val="28"/>
          <w:szCs w:val="28"/>
        </w:rPr>
      </w:pPr>
      <w:r w:rsidRPr="0059763D">
        <w:rPr>
          <w:sz w:val="28"/>
          <w:szCs w:val="28"/>
        </w:rPr>
        <w:t>6)</w:t>
      </w:r>
      <w:r w:rsidRPr="0059763D">
        <w:rPr>
          <w:sz w:val="28"/>
          <w:szCs w:val="28"/>
        </w:rPr>
        <w:tab/>
        <w:t>Permitting questioning by the parties;</w:t>
      </w:r>
      <w:r w:rsidR="007E0F54" w:rsidRPr="0059763D">
        <w:rPr>
          <w:rStyle w:val="FootnoteReference"/>
          <w:sz w:val="28"/>
          <w:szCs w:val="28"/>
        </w:rPr>
        <w:footnoteReference w:id="2"/>
      </w:r>
    </w:p>
    <w:p w14:paraId="0755C198" w14:textId="77777777" w:rsidR="00524D80" w:rsidRPr="0059763D" w:rsidRDefault="00524D80" w:rsidP="005B74CB">
      <w:pPr>
        <w:spacing w:line="480" w:lineRule="auto"/>
        <w:ind w:left="1440" w:hanging="720"/>
        <w:jc w:val="both"/>
        <w:rPr>
          <w:sz w:val="28"/>
          <w:szCs w:val="28"/>
        </w:rPr>
      </w:pPr>
      <w:r w:rsidRPr="0059763D">
        <w:rPr>
          <w:sz w:val="28"/>
          <w:szCs w:val="28"/>
        </w:rPr>
        <w:t>7)</w:t>
      </w:r>
      <w:r w:rsidRPr="0059763D">
        <w:rPr>
          <w:sz w:val="28"/>
          <w:szCs w:val="28"/>
        </w:rPr>
        <w:tab/>
        <w:t>Avoiding attempts by the judge to rehabilitate a prospective juror through leading questions.</w:t>
      </w:r>
      <w:r w:rsidRPr="0059763D">
        <w:rPr>
          <w:rStyle w:val="FootnoteReference"/>
          <w:sz w:val="28"/>
          <w:szCs w:val="28"/>
        </w:rPr>
        <w:footnoteReference w:id="3"/>
      </w:r>
    </w:p>
    <w:p w14:paraId="6EF9FCF7" w14:textId="40461343" w:rsidR="0073505B" w:rsidRPr="0059763D" w:rsidRDefault="00E06A25" w:rsidP="005B74CB">
      <w:pPr>
        <w:spacing w:line="480" w:lineRule="auto"/>
        <w:ind w:firstLine="720"/>
        <w:jc w:val="both"/>
        <w:rPr>
          <w:sz w:val="28"/>
          <w:szCs w:val="28"/>
        </w:rPr>
      </w:pPr>
      <w:r w:rsidRPr="0059763D">
        <w:rPr>
          <w:sz w:val="28"/>
          <w:szCs w:val="28"/>
        </w:rPr>
        <w:t>The</w:t>
      </w:r>
      <w:r w:rsidR="001D2631" w:rsidRPr="0059763D">
        <w:rPr>
          <w:sz w:val="28"/>
          <w:szCs w:val="28"/>
        </w:rPr>
        <w:t xml:space="preserve"> Task Force recommendations are, in part, </w:t>
      </w:r>
      <w:r w:rsidRPr="0059763D">
        <w:rPr>
          <w:sz w:val="28"/>
          <w:szCs w:val="28"/>
        </w:rPr>
        <w:t xml:space="preserve">based </w:t>
      </w:r>
      <w:r w:rsidR="002070F7">
        <w:rPr>
          <w:sz w:val="28"/>
          <w:szCs w:val="28"/>
        </w:rPr>
        <w:t>up</w:t>
      </w:r>
      <w:r w:rsidRPr="0059763D">
        <w:rPr>
          <w:sz w:val="28"/>
          <w:szCs w:val="28"/>
        </w:rPr>
        <w:t xml:space="preserve">on a study entitled “The Impact of Minimal versus Extended </w:t>
      </w:r>
      <w:r w:rsidRPr="0059763D">
        <w:rPr>
          <w:i/>
          <w:sz w:val="28"/>
          <w:szCs w:val="28"/>
        </w:rPr>
        <w:t>Voir Dire</w:t>
      </w:r>
      <w:r w:rsidRPr="0059763D">
        <w:rPr>
          <w:sz w:val="28"/>
          <w:szCs w:val="28"/>
        </w:rPr>
        <w:t xml:space="preserve"> and Judicial Rehabilitation on Mock Juror’s Decisions in Civil Cases.”</w:t>
      </w:r>
      <w:r w:rsidRPr="0059763D">
        <w:rPr>
          <w:rStyle w:val="FootnoteReference"/>
          <w:sz w:val="28"/>
          <w:szCs w:val="28"/>
        </w:rPr>
        <w:footnoteReference w:id="4"/>
      </w:r>
      <w:r w:rsidR="0055519F" w:rsidRPr="0059763D">
        <w:rPr>
          <w:sz w:val="28"/>
          <w:szCs w:val="28"/>
        </w:rPr>
        <w:t xml:space="preserve"> This study used three </w:t>
      </w:r>
      <w:r w:rsidR="00294F08" w:rsidRPr="0059763D">
        <w:rPr>
          <w:sz w:val="28"/>
          <w:szCs w:val="28"/>
        </w:rPr>
        <w:t xml:space="preserve">mock juror cases </w:t>
      </w:r>
      <w:r w:rsidR="00294F08" w:rsidRPr="0059763D">
        <w:rPr>
          <w:sz w:val="28"/>
          <w:szCs w:val="28"/>
        </w:rPr>
        <w:lastRenderedPageBreak/>
        <w:t>(“insurance bad faith;</w:t>
      </w:r>
      <w:r w:rsidR="000200D0" w:rsidRPr="0059763D">
        <w:rPr>
          <w:sz w:val="28"/>
          <w:szCs w:val="28"/>
        </w:rPr>
        <w:t>”</w:t>
      </w:r>
      <w:r w:rsidR="00294F08" w:rsidRPr="0059763D">
        <w:rPr>
          <w:sz w:val="28"/>
          <w:szCs w:val="28"/>
        </w:rPr>
        <w:t xml:space="preserve"> “wrongful birth</w:t>
      </w:r>
      <w:r w:rsidR="000200D0" w:rsidRPr="0059763D">
        <w:rPr>
          <w:sz w:val="28"/>
          <w:szCs w:val="28"/>
        </w:rPr>
        <w:t>;</w:t>
      </w:r>
      <w:r w:rsidR="00294F08" w:rsidRPr="0059763D">
        <w:rPr>
          <w:sz w:val="28"/>
          <w:szCs w:val="28"/>
        </w:rPr>
        <w:t>” “medical malpractice diagnosis”</w:t>
      </w:r>
      <w:r w:rsidR="00B813B6" w:rsidRPr="0059763D">
        <w:rPr>
          <w:sz w:val="28"/>
          <w:szCs w:val="28"/>
        </w:rPr>
        <w:t>) to</w:t>
      </w:r>
      <w:r w:rsidR="0055519F" w:rsidRPr="0059763D">
        <w:rPr>
          <w:sz w:val="28"/>
          <w:szCs w:val="28"/>
        </w:rPr>
        <w:t xml:space="preserve"> test the utility of minimal versus extended </w:t>
      </w:r>
      <w:r w:rsidR="0055519F" w:rsidRPr="0059763D">
        <w:rPr>
          <w:i/>
          <w:sz w:val="28"/>
          <w:szCs w:val="28"/>
        </w:rPr>
        <w:t>voir dire</w:t>
      </w:r>
      <w:r w:rsidR="0055519F" w:rsidRPr="0059763D">
        <w:rPr>
          <w:sz w:val="28"/>
          <w:szCs w:val="28"/>
        </w:rPr>
        <w:t xml:space="preserve"> questions in predicting mock jurors</w:t>
      </w:r>
      <w:r w:rsidR="00886CD0" w:rsidRPr="0059763D">
        <w:rPr>
          <w:sz w:val="28"/>
          <w:szCs w:val="28"/>
        </w:rPr>
        <w:t>’</w:t>
      </w:r>
      <w:r w:rsidR="00294F08" w:rsidRPr="0059763D">
        <w:rPr>
          <w:sz w:val="28"/>
          <w:szCs w:val="28"/>
        </w:rPr>
        <w:t xml:space="preserve"> verdicts and damage awards</w:t>
      </w:r>
      <w:r w:rsidR="0055519F" w:rsidRPr="0059763D">
        <w:rPr>
          <w:sz w:val="28"/>
          <w:szCs w:val="28"/>
        </w:rPr>
        <w:t>, and whether the biasing impact</w:t>
      </w:r>
      <w:r w:rsidR="00294F08" w:rsidRPr="0059763D">
        <w:rPr>
          <w:rStyle w:val="FootnoteReference"/>
          <w:sz w:val="28"/>
          <w:szCs w:val="28"/>
        </w:rPr>
        <w:footnoteReference w:id="5"/>
      </w:r>
      <w:r w:rsidR="0055519F" w:rsidRPr="0059763D">
        <w:rPr>
          <w:sz w:val="28"/>
          <w:szCs w:val="28"/>
        </w:rPr>
        <w:t xml:space="preserve"> of their preexisting attitudes on case judgments could be reduced by judicial rehabilitation.</w:t>
      </w:r>
      <w:r w:rsidR="0055519F" w:rsidRPr="0059763D">
        <w:rPr>
          <w:rStyle w:val="FootnoteReference"/>
          <w:sz w:val="28"/>
          <w:szCs w:val="28"/>
        </w:rPr>
        <w:footnoteReference w:id="6"/>
      </w:r>
      <w:r w:rsidR="00294F08" w:rsidRPr="0059763D">
        <w:rPr>
          <w:sz w:val="28"/>
          <w:szCs w:val="28"/>
        </w:rPr>
        <w:t xml:space="preserve"> </w:t>
      </w:r>
      <w:r w:rsidR="0073505B" w:rsidRPr="0059763D">
        <w:rPr>
          <w:sz w:val="28"/>
          <w:szCs w:val="28"/>
        </w:rPr>
        <w:t xml:space="preserve">The study does not contemplate its findings in a legal environment absent peremptory strikes, </w:t>
      </w:r>
      <w:r w:rsidR="00886CD0" w:rsidRPr="0059763D">
        <w:rPr>
          <w:sz w:val="28"/>
          <w:szCs w:val="28"/>
        </w:rPr>
        <w:t>however</w:t>
      </w:r>
      <w:r w:rsidR="00122AE0">
        <w:rPr>
          <w:sz w:val="28"/>
          <w:szCs w:val="28"/>
        </w:rPr>
        <w:t xml:space="preserve">. </w:t>
      </w:r>
      <w:r w:rsidR="00886CD0" w:rsidRPr="0059763D">
        <w:rPr>
          <w:sz w:val="28"/>
          <w:szCs w:val="28"/>
        </w:rPr>
        <w:t>In</w:t>
      </w:r>
      <w:r w:rsidR="0073505B" w:rsidRPr="0059763D">
        <w:rPr>
          <w:sz w:val="28"/>
          <w:szCs w:val="28"/>
        </w:rPr>
        <w:t xml:space="preserve"> fact, the </w:t>
      </w:r>
      <w:r w:rsidR="00886CD0" w:rsidRPr="0059763D">
        <w:rPr>
          <w:sz w:val="28"/>
          <w:szCs w:val="28"/>
        </w:rPr>
        <w:t xml:space="preserve">study </w:t>
      </w:r>
      <w:r w:rsidR="0073505B" w:rsidRPr="0059763D">
        <w:rPr>
          <w:sz w:val="28"/>
          <w:szCs w:val="28"/>
        </w:rPr>
        <w:t>specifically references</w:t>
      </w:r>
      <w:r w:rsidR="00F1628F" w:rsidRPr="0059763D">
        <w:rPr>
          <w:sz w:val="28"/>
          <w:szCs w:val="28"/>
        </w:rPr>
        <w:t xml:space="preserve"> </w:t>
      </w:r>
      <w:r w:rsidR="00886CD0" w:rsidRPr="0059763D">
        <w:rPr>
          <w:sz w:val="28"/>
          <w:szCs w:val="28"/>
        </w:rPr>
        <w:t xml:space="preserve">how </w:t>
      </w:r>
      <w:r w:rsidR="0073505B" w:rsidRPr="0059763D">
        <w:rPr>
          <w:sz w:val="28"/>
          <w:szCs w:val="28"/>
        </w:rPr>
        <w:t xml:space="preserve">extended </w:t>
      </w:r>
      <w:r w:rsidR="0073505B" w:rsidRPr="0059763D">
        <w:rPr>
          <w:i/>
          <w:sz w:val="28"/>
          <w:szCs w:val="28"/>
        </w:rPr>
        <w:t>voir dire</w:t>
      </w:r>
      <w:r w:rsidR="0073505B" w:rsidRPr="0059763D">
        <w:rPr>
          <w:sz w:val="28"/>
          <w:szCs w:val="28"/>
        </w:rPr>
        <w:t xml:space="preserve"> will help </w:t>
      </w:r>
      <w:r w:rsidR="0073505B" w:rsidRPr="0059763D">
        <w:rPr>
          <w:sz w:val="28"/>
          <w:szCs w:val="28"/>
        </w:rPr>
        <w:lastRenderedPageBreak/>
        <w:t xml:space="preserve">to remove </w:t>
      </w:r>
      <w:r w:rsidR="00AC6D9E" w:rsidRPr="0059763D">
        <w:rPr>
          <w:sz w:val="28"/>
          <w:szCs w:val="28"/>
        </w:rPr>
        <w:t xml:space="preserve">prospective </w:t>
      </w:r>
      <w:r w:rsidR="0073505B" w:rsidRPr="0059763D">
        <w:rPr>
          <w:sz w:val="28"/>
          <w:szCs w:val="28"/>
        </w:rPr>
        <w:t>jurors for cause</w:t>
      </w:r>
      <w:r w:rsidR="009B08C7">
        <w:rPr>
          <w:sz w:val="28"/>
          <w:szCs w:val="28"/>
        </w:rPr>
        <w:t xml:space="preserve"> or via peremptory challenges</w:t>
      </w:r>
      <w:r w:rsidR="0073505B" w:rsidRPr="0059763D">
        <w:rPr>
          <w:sz w:val="28"/>
          <w:szCs w:val="28"/>
        </w:rPr>
        <w:t>.</w:t>
      </w:r>
      <w:r w:rsidR="0073505B" w:rsidRPr="0059763D">
        <w:rPr>
          <w:rStyle w:val="FootnoteReference"/>
          <w:sz w:val="28"/>
          <w:szCs w:val="28"/>
        </w:rPr>
        <w:footnoteReference w:id="7"/>
      </w:r>
      <w:r w:rsidR="00294F08" w:rsidRPr="0059763D">
        <w:rPr>
          <w:sz w:val="28"/>
          <w:szCs w:val="28"/>
        </w:rPr>
        <w:t xml:space="preserve">  Moreover, the </w:t>
      </w:r>
      <w:r w:rsidR="00886CD0" w:rsidRPr="0059763D">
        <w:rPr>
          <w:sz w:val="28"/>
          <w:szCs w:val="28"/>
        </w:rPr>
        <w:t>study</w:t>
      </w:r>
      <w:r w:rsidR="00294F08" w:rsidRPr="0059763D">
        <w:rPr>
          <w:sz w:val="28"/>
          <w:szCs w:val="28"/>
        </w:rPr>
        <w:t xml:space="preserve"> admits that studies about </w:t>
      </w:r>
      <w:r w:rsidR="00294F08" w:rsidRPr="0059763D">
        <w:rPr>
          <w:i/>
          <w:sz w:val="28"/>
          <w:szCs w:val="28"/>
        </w:rPr>
        <w:t>voir dire</w:t>
      </w:r>
      <w:r w:rsidR="00294F08" w:rsidRPr="0059763D">
        <w:rPr>
          <w:sz w:val="28"/>
          <w:szCs w:val="28"/>
        </w:rPr>
        <w:t xml:space="preserve"> in the civil realm are very rare, but posits that the studies that exist offer promising evidence of predictive value of case</w:t>
      </w:r>
      <w:r w:rsidR="007E0F54" w:rsidRPr="0059763D">
        <w:rPr>
          <w:sz w:val="28"/>
          <w:szCs w:val="28"/>
        </w:rPr>
        <w:t>-</w:t>
      </w:r>
      <w:r w:rsidR="00294F08" w:rsidRPr="0059763D">
        <w:rPr>
          <w:sz w:val="28"/>
          <w:szCs w:val="28"/>
        </w:rPr>
        <w:t>specific attitudes.</w:t>
      </w:r>
      <w:r w:rsidR="00294F08" w:rsidRPr="0059763D">
        <w:rPr>
          <w:rStyle w:val="FootnoteReference"/>
          <w:sz w:val="28"/>
          <w:szCs w:val="28"/>
        </w:rPr>
        <w:footnoteReference w:id="8"/>
      </w:r>
      <w:r w:rsidR="00294F08" w:rsidRPr="0059763D">
        <w:rPr>
          <w:sz w:val="28"/>
          <w:szCs w:val="28"/>
        </w:rPr>
        <w:t xml:space="preserve"> </w:t>
      </w:r>
      <w:r w:rsidR="0073505B" w:rsidRPr="0059763D">
        <w:rPr>
          <w:sz w:val="28"/>
          <w:szCs w:val="28"/>
        </w:rPr>
        <w:t xml:space="preserve">  </w:t>
      </w:r>
    </w:p>
    <w:p w14:paraId="5151AF4B" w14:textId="4EC3F78B" w:rsidR="00E06A25" w:rsidRPr="0059763D" w:rsidRDefault="00334C2E" w:rsidP="005B74CB">
      <w:pPr>
        <w:spacing w:line="480" w:lineRule="auto"/>
        <w:ind w:firstLine="720"/>
        <w:jc w:val="both"/>
        <w:rPr>
          <w:sz w:val="28"/>
          <w:szCs w:val="28"/>
        </w:rPr>
      </w:pPr>
      <w:r w:rsidRPr="0059763D">
        <w:rPr>
          <w:sz w:val="28"/>
          <w:szCs w:val="28"/>
        </w:rPr>
        <w:t xml:space="preserve">The study states that the “lofty goal” of the </w:t>
      </w:r>
      <w:r w:rsidR="0083122B" w:rsidRPr="0059763D">
        <w:rPr>
          <w:sz w:val="28"/>
          <w:szCs w:val="28"/>
        </w:rPr>
        <w:t xml:space="preserve">Seventh </w:t>
      </w:r>
      <w:r w:rsidRPr="0059763D">
        <w:rPr>
          <w:sz w:val="28"/>
          <w:szCs w:val="28"/>
        </w:rPr>
        <w:t>Amendment</w:t>
      </w:r>
      <w:r w:rsidR="000200D0" w:rsidRPr="0059763D">
        <w:rPr>
          <w:sz w:val="28"/>
          <w:szCs w:val="28"/>
        </w:rPr>
        <w:t xml:space="preserve"> is</w:t>
      </w:r>
      <w:r w:rsidRPr="0059763D">
        <w:rPr>
          <w:sz w:val="28"/>
          <w:szCs w:val="28"/>
        </w:rPr>
        <w:t xml:space="preserve"> to guarantee the right to a fair and impartial jury in civil cases, through the use of </w:t>
      </w:r>
      <w:r w:rsidRPr="0059763D">
        <w:rPr>
          <w:i/>
          <w:sz w:val="28"/>
          <w:szCs w:val="28"/>
        </w:rPr>
        <w:t>voir dire</w:t>
      </w:r>
      <w:r w:rsidRPr="0059763D">
        <w:rPr>
          <w:sz w:val="28"/>
          <w:szCs w:val="28"/>
        </w:rPr>
        <w:t>,</w:t>
      </w:r>
      <w:r w:rsidR="000200D0" w:rsidRPr="0059763D">
        <w:rPr>
          <w:sz w:val="28"/>
          <w:szCs w:val="28"/>
        </w:rPr>
        <w:t xml:space="preserve"> and notes that</w:t>
      </w:r>
      <w:r w:rsidRPr="0059763D">
        <w:rPr>
          <w:sz w:val="28"/>
          <w:szCs w:val="28"/>
        </w:rPr>
        <w:t xml:space="preserve"> it is “assumed that individuals are both aware of and willing to acknowledge their biases during voir dire . . . (</w:t>
      </w:r>
      <w:r w:rsidR="00886CD0" w:rsidRPr="0059763D">
        <w:rPr>
          <w:sz w:val="28"/>
          <w:szCs w:val="28"/>
        </w:rPr>
        <w:t>also</w:t>
      </w:r>
      <w:r w:rsidRPr="0059763D">
        <w:rPr>
          <w:sz w:val="28"/>
          <w:szCs w:val="28"/>
        </w:rPr>
        <w:t>) it is assumed that juror</w:t>
      </w:r>
      <w:r w:rsidR="00886CD0" w:rsidRPr="0059763D">
        <w:rPr>
          <w:sz w:val="28"/>
          <w:szCs w:val="28"/>
        </w:rPr>
        <w:t>s</w:t>
      </w:r>
      <w:r w:rsidRPr="0059763D">
        <w:rPr>
          <w:sz w:val="28"/>
          <w:szCs w:val="28"/>
        </w:rPr>
        <w:t xml:space="preserve"> acknowledge that their own biases can be ‘rehabilitated’ through a procedure whereby a judge informs prospective jurors that they must set aside their biases and asks them explicitly whether they can agree to do so.”</w:t>
      </w:r>
      <w:r w:rsidRPr="0059763D">
        <w:rPr>
          <w:rStyle w:val="FootnoteReference"/>
          <w:sz w:val="28"/>
          <w:szCs w:val="28"/>
        </w:rPr>
        <w:footnoteReference w:id="9"/>
      </w:r>
      <w:r w:rsidRPr="0059763D">
        <w:rPr>
          <w:sz w:val="28"/>
          <w:szCs w:val="28"/>
        </w:rPr>
        <w:t xml:space="preserve">  </w:t>
      </w:r>
      <w:r w:rsidR="0055519F" w:rsidRPr="0059763D">
        <w:rPr>
          <w:sz w:val="28"/>
          <w:szCs w:val="28"/>
        </w:rPr>
        <w:t xml:space="preserve">The paper claims that while “[d]emographic information and minimal voir dire questions did not predict case judgments, </w:t>
      </w:r>
      <w:r w:rsidR="008075FF" w:rsidRPr="0059763D">
        <w:rPr>
          <w:sz w:val="28"/>
          <w:szCs w:val="28"/>
        </w:rPr>
        <w:t>[]</w:t>
      </w:r>
      <w:r w:rsidR="0055519F" w:rsidRPr="0059763D">
        <w:rPr>
          <w:sz w:val="28"/>
          <w:szCs w:val="28"/>
        </w:rPr>
        <w:t xml:space="preserve"> the majority of extended voir dire responses </w:t>
      </w:r>
      <w:r w:rsidR="0055519F" w:rsidRPr="0059763D">
        <w:rPr>
          <w:i/>
          <w:sz w:val="28"/>
          <w:szCs w:val="28"/>
        </w:rPr>
        <w:t>predicted verdicts and damage awards</w:t>
      </w:r>
      <w:r w:rsidR="0055519F" w:rsidRPr="0059763D">
        <w:rPr>
          <w:sz w:val="28"/>
          <w:szCs w:val="28"/>
        </w:rPr>
        <w:t>.”</w:t>
      </w:r>
      <w:r w:rsidR="00B813B6" w:rsidRPr="0059763D">
        <w:rPr>
          <w:sz w:val="28"/>
          <w:szCs w:val="28"/>
        </w:rPr>
        <w:t xml:space="preserve"> </w:t>
      </w:r>
      <w:r w:rsidR="0055519F" w:rsidRPr="0059763D">
        <w:rPr>
          <w:sz w:val="28"/>
          <w:szCs w:val="28"/>
        </w:rPr>
        <w:t>(emphasis added)</w:t>
      </w:r>
      <w:r w:rsidRPr="0059763D">
        <w:rPr>
          <w:sz w:val="28"/>
          <w:szCs w:val="28"/>
        </w:rPr>
        <w:t>.</w:t>
      </w:r>
      <w:r w:rsidR="0055519F" w:rsidRPr="0059763D">
        <w:rPr>
          <w:rStyle w:val="FootnoteReference"/>
          <w:sz w:val="28"/>
          <w:szCs w:val="28"/>
        </w:rPr>
        <w:footnoteReference w:id="10"/>
      </w:r>
      <w:r w:rsidR="0055519F" w:rsidRPr="0059763D">
        <w:rPr>
          <w:sz w:val="28"/>
          <w:szCs w:val="28"/>
        </w:rPr>
        <w:t xml:space="preserve"> </w:t>
      </w:r>
      <w:r w:rsidR="0073505B" w:rsidRPr="0059763D">
        <w:rPr>
          <w:sz w:val="28"/>
          <w:szCs w:val="28"/>
        </w:rPr>
        <w:t>The paper further concluded that judicial rehabilitation did not reduce the biasing of impact of preexisting attitudes on case judgments.</w:t>
      </w:r>
      <w:r w:rsidR="0073505B" w:rsidRPr="0059763D">
        <w:rPr>
          <w:rStyle w:val="FootnoteReference"/>
          <w:sz w:val="28"/>
          <w:szCs w:val="28"/>
        </w:rPr>
        <w:footnoteReference w:id="11"/>
      </w:r>
      <w:r w:rsidR="0073505B" w:rsidRPr="0059763D">
        <w:rPr>
          <w:sz w:val="28"/>
          <w:szCs w:val="28"/>
        </w:rPr>
        <w:t xml:space="preserve"> </w:t>
      </w:r>
    </w:p>
    <w:p w14:paraId="7FF0A40E" w14:textId="1987C937" w:rsidR="00524D80" w:rsidRPr="0059763D" w:rsidRDefault="00524D80" w:rsidP="005B74CB">
      <w:pPr>
        <w:spacing w:line="480" w:lineRule="auto"/>
        <w:ind w:firstLine="720"/>
        <w:jc w:val="both"/>
        <w:rPr>
          <w:sz w:val="28"/>
          <w:szCs w:val="28"/>
        </w:rPr>
      </w:pPr>
      <w:r w:rsidRPr="0059763D">
        <w:rPr>
          <w:sz w:val="28"/>
          <w:szCs w:val="28"/>
        </w:rPr>
        <w:lastRenderedPageBreak/>
        <w:t>Additionally, the changes</w:t>
      </w:r>
      <w:r w:rsidR="002A2F57" w:rsidRPr="0059763D">
        <w:rPr>
          <w:sz w:val="28"/>
          <w:szCs w:val="28"/>
        </w:rPr>
        <w:t xml:space="preserve"> this Court</w:t>
      </w:r>
      <w:r w:rsidRPr="0059763D">
        <w:rPr>
          <w:sz w:val="28"/>
          <w:szCs w:val="28"/>
        </w:rPr>
        <w:t xml:space="preserve"> </w:t>
      </w:r>
      <w:r w:rsidR="002070F7">
        <w:rPr>
          <w:sz w:val="28"/>
          <w:szCs w:val="28"/>
        </w:rPr>
        <w:t xml:space="preserve">adopted </w:t>
      </w:r>
      <w:r w:rsidRPr="0059763D">
        <w:rPr>
          <w:sz w:val="28"/>
          <w:szCs w:val="28"/>
        </w:rPr>
        <w:t xml:space="preserve">encourage the creation and use of case-specific questionnaires. “This process allows litigants, lawyers, and the court to gather candid information from jurors prior to starting oral </w:t>
      </w:r>
      <w:r w:rsidRPr="0059763D">
        <w:rPr>
          <w:i/>
          <w:sz w:val="28"/>
          <w:szCs w:val="28"/>
        </w:rPr>
        <w:t>voir dire</w:t>
      </w:r>
      <w:r w:rsidR="00122AE0">
        <w:rPr>
          <w:sz w:val="28"/>
          <w:szCs w:val="28"/>
        </w:rPr>
        <w:t xml:space="preserve">. </w:t>
      </w:r>
      <w:r w:rsidRPr="0059763D">
        <w:rPr>
          <w:sz w:val="28"/>
          <w:szCs w:val="28"/>
        </w:rPr>
        <w:t>Moreover, this process allows more streamlined questioning and permits the prospective jurors to provide information in a more private setting.”</w:t>
      </w:r>
      <w:r w:rsidRPr="0059763D">
        <w:rPr>
          <w:rStyle w:val="FootnoteReference"/>
          <w:sz w:val="28"/>
          <w:szCs w:val="28"/>
        </w:rPr>
        <w:footnoteReference w:id="12"/>
      </w:r>
    </w:p>
    <w:p w14:paraId="4DD2A3FF" w14:textId="4EFC81E9" w:rsidR="00524D80" w:rsidRDefault="00524D80" w:rsidP="005B74CB">
      <w:pPr>
        <w:spacing w:line="480" w:lineRule="auto"/>
        <w:ind w:firstLine="720"/>
        <w:jc w:val="both"/>
        <w:rPr>
          <w:sz w:val="28"/>
          <w:szCs w:val="28"/>
        </w:rPr>
      </w:pPr>
      <w:r w:rsidRPr="0059763D">
        <w:rPr>
          <w:sz w:val="28"/>
          <w:szCs w:val="28"/>
        </w:rPr>
        <w:t xml:space="preserve">The </w:t>
      </w:r>
      <w:r w:rsidR="002A2F57" w:rsidRPr="0059763D">
        <w:rPr>
          <w:sz w:val="28"/>
          <w:szCs w:val="28"/>
        </w:rPr>
        <w:t>S</w:t>
      </w:r>
      <w:r w:rsidR="00D00851" w:rsidRPr="0059763D">
        <w:rPr>
          <w:sz w:val="28"/>
          <w:szCs w:val="28"/>
        </w:rPr>
        <w:t xml:space="preserve">tate </w:t>
      </w:r>
      <w:r w:rsidR="002A2F57" w:rsidRPr="0059763D">
        <w:rPr>
          <w:sz w:val="28"/>
          <w:szCs w:val="28"/>
        </w:rPr>
        <w:t>B</w:t>
      </w:r>
      <w:r w:rsidR="00D00851" w:rsidRPr="0059763D">
        <w:rPr>
          <w:sz w:val="28"/>
          <w:szCs w:val="28"/>
        </w:rPr>
        <w:t>ar</w:t>
      </w:r>
      <w:r w:rsidR="000F5F8E">
        <w:rPr>
          <w:sz w:val="28"/>
          <w:szCs w:val="28"/>
        </w:rPr>
        <w:t>’s Civil Practice and Procedure Committee</w:t>
      </w:r>
      <w:r w:rsidR="00D00851" w:rsidRPr="0059763D">
        <w:rPr>
          <w:sz w:val="28"/>
          <w:szCs w:val="28"/>
        </w:rPr>
        <w:t xml:space="preserve"> </w:t>
      </w:r>
      <w:r w:rsidRPr="0059763D">
        <w:rPr>
          <w:sz w:val="28"/>
          <w:szCs w:val="28"/>
        </w:rPr>
        <w:t xml:space="preserve">acknowledges that written questionnaires have been around for decades </w:t>
      </w:r>
      <w:r w:rsidR="000F5F8E">
        <w:rPr>
          <w:sz w:val="28"/>
          <w:szCs w:val="28"/>
        </w:rPr>
        <w:t>and</w:t>
      </w:r>
      <w:r w:rsidRPr="0059763D">
        <w:rPr>
          <w:sz w:val="28"/>
          <w:szCs w:val="28"/>
        </w:rPr>
        <w:t xml:space="preserve"> harbor</w:t>
      </w:r>
      <w:r w:rsidR="000F5F8E">
        <w:rPr>
          <w:sz w:val="28"/>
          <w:szCs w:val="28"/>
        </w:rPr>
        <w:t>s</w:t>
      </w:r>
      <w:r w:rsidRPr="0059763D">
        <w:rPr>
          <w:sz w:val="28"/>
          <w:szCs w:val="28"/>
        </w:rPr>
        <w:t xml:space="preserve"> </w:t>
      </w:r>
      <w:r w:rsidR="000F5F8E">
        <w:rPr>
          <w:sz w:val="28"/>
          <w:szCs w:val="28"/>
        </w:rPr>
        <w:t>no</w:t>
      </w:r>
      <w:r w:rsidR="000F5F8E" w:rsidRPr="0059763D">
        <w:rPr>
          <w:sz w:val="28"/>
          <w:szCs w:val="28"/>
        </w:rPr>
        <w:t xml:space="preserve"> </w:t>
      </w:r>
      <w:r w:rsidRPr="0059763D">
        <w:rPr>
          <w:sz w:val="28"/>
          <w:szCs w:val="28"/>
        </w:rPr>
        <w:t>opposition to written questionnaires that handle the preliminary matters to ferret out hardship or basic juror qualifications and ability to serve.</w:t>
      </w:r>
      <w:r w:rsidR="00327965" w:rsidRPr="0059763D">
        <w:rPr>
          <w:sz w:val="28"/>
          <w:szCs w:val="28"/>
        </w:rPr>
        <w:t xml:space="preserve"> However, while standard questionnaires may seem to be a time</w:t>
      </w:r>
      <w:r w:rsidR="00881BF3" w:rsidRPr="0059763D">
        <w:rPr>
          <w:sz w:val="28"/>
          <w:szCs w:val="28"/>
        </w:rPr>
        <w:t>-</w:t>
      </w:r>
      <w:r w:rsidR="00327965" w:rsidRPr="0059763D">
        <w:rPr>
          <w:sz w:val="28"/>
          <w:szCs w:val="28"/>
        </w:rPr>
        <w:t xml:space="preserve">saving measure, </w:t>
      </w:r>
      <w:r w:rsidR="00BF1CA0" w:rsidRPr="0059763D">
        <w:rPr>
          <w:sz w:val="28"/>
          <w:szCs w:val="28"/>
        </w:rPr>
        <w:t xml:space="preserve">unwieldy </w:t>
      </w:r>
      <w:r w:rsidR="00327965" w:rsidRPr="0059763D">
        <w:rPr>
          <w:sz w:val="28"/>
          <w:szCs w:val="28"/>
        </w:rPr>
        <w:t>spreadsheets</w:t>
      </w:r>
      <w:r w:rsidR="00BF1CA0" w:rsidRPr="0059763D">
        <w:rPr>
          <w:sz w:val="28"/>
          <w:szCs w:val="28"/>
        </w:rPr>
        <w:t>—like those that may come from overly long questionnaires—</w:t>
      </w:r>
      <w:r w:rsidR="00327965" w:rsidRPr="0059763D">
        <w:rPr>
          <w:sz w:val="28"/>
          <w:szCs w:val="28"/>
        </w:rPr>
        <w:t>can contain an overwhelming amount of data that is hard to digest in a short timeframe</w:t>
      </w:r>
      <w:r w:rsidR="00122AE0">
        <w:rPr>
          <w:sz w:val="28"/>
          <w:szCs w:val="28"/>
        </w:rPr>
        <w:t xml:space="preserve">. </w:t>
      </w:r>
      <w:r w:rsidR="008075FF" w:rsidRPr="0059763D">
        <w:rPr>
          <w:sz w:val="28"/>
          <w:szCs w:val="28"/>
        </w:rPr>
        <w:t xml:space="preserve">In addition, because the parties may not agree on the content of such questionnaires, the </w:t>
      </w:r>
      <w:r w:rsidR="002A2F57" w:rsidRPr="0059763D">
        <w:rPr>
          <w:sz w:val="28"/>
          <w:szCs w:val="28"/>
        </w:rPr>
        <w:t xml:space="preserve">trial </w:t>
      </w:r>
      <w:r w:rsidR="008075FF" w:rsidRPr="0059763D">
        <w:rPr>
          <w:sz w:val="28"/>
          <w:szCs w:val="28"/>
        </w:rPr>
        <w:t>court will have to decide the content</w:t>
      </w:r>
      <w:r w:rsidR="002A2F57" w:rsidRPr="0059763D">
        <w:rPr>
          <w:sz w:val="28"/>
          <w:szCs w:val="28"/>
        </w:rPr>
        <w:t xml:space="preserve">, just as it does when resolving disputes over proposed jury instructions or statements of the case to be read during oral </w:t>
      </w:r>
      <w:r w:rsidR="002A2F57" w:rsidRPr="0059763D">
        <w:rPr>
          <w:i/>
          <w:iCs/>
          <w:sz w:val="28"/>
          <w:szCs w:val="28"/>
        </w:rPr>
        <w:t>voir dire.</w:t>
      </w:r>
      <w:r w:rsidR="008075FF" w:rsidRPr="0059763D">
        <w:rPr>
          <w:sz w:val="28"/>
          <w:szCs w:val="28"/>
        </w:rPr>
        <w:t xml:space="preserve"> </w:t>
      </w:r>
      <w:r w:rsidR="002A2F57" w:rsidRPr="0059763D">
        <w:rPr>
          <w:sz w:val="28"/>
          <w:szCs w:val="28"/>
        </w:rPr>
        <w:t>This may</w:t>
      </w:r>
      <w:r w:rsidR="008075FF" w:rsidRPr="0059763D">
        <w:rPr>
          <w:sz w:val="28"/>
          <w:szCs w:val="28"/>
        </w:rPr>
        <w:t xml:space="preserve"> increase the time </w:t>
      </w:r>
      <w:r w:rsidR="00F603DA">
        <w:rPr>
          <w:sz w:val="28"/>
          <w:szCs w:val="28"/>
        </w:rPr>
        <w:t xml:space="preserve">the court and the parties must </w:t>
      </w:r>
      <w:r w:rsidR="00F603DA" w:rsidRPr="0059763D">
        <w:rPr>
          <w:sz w:val="28"/>
          <w:szCs w:val="28"/>
        </w:rPr>
        <w:t>spen</w:t>
      </w:r>
      <w:r w:rsidR="00F603DA">
        <w:rPr>
          <w:sz w:val="28"/>
          <w:szCs w:val="28"/>
        </w:rPr>
        <w:t>d</w:t>
      </w:r>
      <w:r w:rsidR="00F603DA" w:rsidRPr="0059763D">
        <w:rPr>
          <w:sz w:val="28"/>
          <w:szCs w:val="28"/>
        </w:rPr>
        <w:t xml:space="preserve"> </w:t>
      </w:r>
      <w:r w:rsidR="008075FF" w:rsidRPr="0059763D">
        <w:rPr>
          <w:sz w:val="28"/>
          <w:szCs w:val="28"/>
        </w:rPr>
        <w:t>on voir dire</w:t>
      </w:r>
      <w:r w:rsidR="00122AE0">
        <w:rPr>
          <w:sz w:val="28"/>
          <w:szCs w:val="28"/>
        </w:rPr>
        <w:t xml:space="preserve">.  </w:t>
      </w:r>
    </w:p>
    <w:p w14:paraId="4810AF7F" w14:textId="77777777" w:rsidR="0089215C" w:rsidRDefault="0089215C" w:rsidP="005B74CB">
      <w:pPr>
        <w:spacing w:line="480" w:lineRule="auto"/>
        <w:ind w:firstLine="720"/>
        <w:jc w:val="both"/>
        <w:rPr>
          <w:sz w:val="28"/>
          <w:szCs w:val="28"/>
        </w:rPr>
      </w:pPr>
    </w:p>
    <w:p w14:paraId="3EA7C55D" w14:textId="77777777" w:rsidR="000F5F8E" w:rsidRPr="0059763D" w:rsidRDefault="000F5F8E" w:rsidP="005B74CB">
      <w:pPr>
        <w:spacing w:line="480" w:lineRule="auto"/>
        <w:ind w:firstLine="720"/>
        <w:jc w:val="both"/>
        <w:rPr>
          <w:sz w:val="28"/>
          <w:szCs w:val="28"/>
        </w:rPr>
      </w:pPr>
    </w:p>
    <w:p w14:paraId="170F0C0C" w14:textId="642AF328" w:rsidR="006F1962" w:rsidRPr="0059763D" w:rsidRDefault="006E1DCF" w:rsidP="005B74CB">
      <w:pPr>
        <w:pStyle w:val="ListParagraph"/>
        <w:numPr>
          <w:ilvl w:val="0"/>
          <w:numId w:val="7"/>
        </w:numPr>
        <w:spacing w:after="240" w:line="240" w:lineRule="auto"/>
        <w:jc w:val="both"/>
        <w:rPr>
          <w:b/>
          <w:sz w:val="28"/>
          <w:szCs w:val="28"/>
        </w:rPr>
      </w:pPr>
      <w:r>
        <w:rPr>
          <w:b/>
          <w:sz w:val="28"/>
          <w:szCs w:val="28"/>
        </w:rPr>
        <w:lastRenderedPageBreak/>
        <w:t>Brief Subcommittee Comment Regarding Rule 47(c)(3)</w:t>
      </w:r>
      <w:r w:rsidR="00CF7070">
        <w:rPr>
          <w:b/>
          <w:sz w:val="28"/>
          <w:szCs w:val="28"/>
        </w:rPr>
        <w:t>.</w:t>
      </w:r>
    </w:p>
    <w:p w14:paraId="53F5C161" w14:textId="25D5A295" w:rsidR="003C3E9C" w:rsidRPr="0059763D" w:rsidRDefault="002A2F57" w:rsidP="005B74CB">
      <w:pPr>
        <w:spacing w:line="480" w:lineRule="auto"/>
        <w:ind w:firstLine="720"/>
        <w:jc w:val="both"/>
        <w:rPr>
          <w:sz w:val="28"/>
          <w:szCs w:val="28"/>
        </w:rPr>
      </w:pPr>
      <w:r w:rsidRPr="0059763D">
        <w:rPr>
          <w:sz w:val="28"/>
          <w:szCs w:val="28"/>
        </w:rPr>
        <w:t>T</w:t>
      </w:r>
      <w:r w:rsidR="00524D80" w:rsidRPr="0059763D">
        <w:rPr>
          <w:sz w:val="28"/>
          <w:szCs w:val="28"/>
        </w:rPr>
        <w:t>he Task Force and SJSW recommend</w:t>
      </w:r>
      <w:r w:rsidR="009B08C7">
        <w:rPr>
          <w:sz w:val="28"/>
          <w:szCs w:val="28"/>
        </w:rPr>
        <w:t>ed</w:t>
      </w:r>
      <w:r w:rsidR="00524D80" w:rsidRPr="0059763D">
        <w:rPr>
          <w:sz w:val="28"/>
          <w:szCs w:val="28"/>
        </w:rPr>
        <w:t xml:space="preserve"> that case-specific written questionnaires be strongly encouraged and start with the presumption of </w:t>
      </w:r>
      <w:r w:rsidR="00F603DA">
        <w:rPr>
          <w:sz w:val="28"/>
          <w:szCs w:val="28"/>
        </w:rPr>
        <w:t xml:space="preserve">questionnaires </w:t>
      </w:r>
      <w:r w:rsidR="00524D80" w:rsidRPr="0059763D">
        <w:rPr>
          <w:sz w:val="28"/>
          <w:szCs w:val="28"/>
        </w:rPr>
        <w:t>being required</w:t>
      </w:r>
      <w:r w:rsidR="009B08C7">
        <w:rPr>
          <w:sz w:val="28"/>
          <w:szCs w:val="28"/>
        </w:rPr>
        <w:t>, and this Court agreed</w:t>
      </w:r>
      <w:r w:rsidR="00524D80" w:rsidRPr="0059763D">
        <w:rPr>
          <w:sz w:val="28"/>
          <w:szCs w:val="28"/>
        </w:rPr>
        <w:t>.</w:t>
      </w:r>
      <w:r w:rsidR="00524D80" w:rsidRPr="0059763D">
        <w:rPr>
          <w:rStyle w:val="FootnoteReference"/>
          <w:sz w:val="28"/>
          <w:szCs w:val="28"/>
        </w:rPr>
        <w:footnoteReference w:id="13"/>
      </w:r>
      <w:r w:rsidR="00826DC7" w:rsidRPr="0059763D">
        <w:rPr>
          <w:sz w:val="28"/>
          <w:szCs w:val="28"/>
        </w:rPr>
        <w:t xml:space="preserve"> </w:t>
      </w:r>
      <w:r w:rsidR="003C3E9C" w:rsidRPr="0059763D">
        <w:rPr>
          <w:sz w:val="28"/>
          <w:szCs w:val="28"/>
        </w:rPr>
        <w:t xml:space="preserve">Specifically, </w:t>
      </w:r>
      <w:r w:rsidR="00D00851" w:rsidRPr="0059763D">
        <w:rPr>
          <w:sz w:val="28"/>
          <w:szCs w:val="28"/>
        </w:rPr>
        <w:t xml:space="preserve">new emergency </w:t>
      </w:r>
      <w:r w:rsidR="003C3E9C" w:rsidRPr="0059763D">
        <w:rPr>
          <w:sz w:val="28"/>
          <w:szCs w:val="28"/>
        </w:rPr>
        <w:t>Rule 47(c)(3) states:</w:t>
      </w:r>
    </w:p>
    <w:p w14:paraId="7C4B8633" w14:textId="1FFB83F0" w:rsidR="003C3E9C" w:rsidRDefault="009B08C7" w:rsidP="009B08C7">
      <w:pPr>
        <w:spacing w:line="240" w:lineRule="auto"/>
        <w:ind w:right="720"/>
        <w:jc w:val="both"/>
        <w:rPr>
          <w:sz w:val="28"/>
          <w:szCs w:val="28"/>
        </w:rPr>
      </w:pPr>
      <w:r w:rsidRPr="00091C00">
        <w:rPr>
          <w:sz w:val="28"/>
          <w:szCs w:val="28"/>
        </w:rPr>
        <w:t xml:space="preserve">(3) </w:t>
      </w:r>
      <w:r w:rsidRPr="00091C00">
        <w:rPr>
          <w:i/>
          <w:iCs/>
          <w:sz w:val="28"/>
          <w:szCs w:val="28"/>
        </w:rPr>
        <w:t xml:space="preserve">Case-Specific Written Questionnaires. </w:t>
      </w:r>
      <w:r w:rsidRPr="009B08C7">
        <w:rPr>
          <w:sz w:val="28"/>
          <w:szCs w:val="28"/>
        </w:rPr>
        <w:t>Unless the court orders otherwise, the</w:t>
      </w:r>
      <w:r w:rsidRPr="00091C00">
        <w:rPr>
          <w:sz w:val="28"/>
          <w:szCs w:val="28"/>
        </w:rPr>
        <w:t xml:space="preserve"> court </w:t>
      </w:r>
      <w:r w:rsidRPr="009B08C7">
        <w:rPr>
          <w:sz w:val="28"/>
          <w:szCs w:val="28"/>
        </w:rPr>
        <w:t xml:space="preserve">should </w:t>
      </w:r>
      <w:r w:rsidRPr="00091C00">
        <w:rPr>
          <w:sz w:val="28"/>
          <w:szCs w:val="28"/>
        </w:rPr>
        <w:t>require each prospective juror to complete a case-specific written questionnaire in a manner and form approved by the court. The case-specific written questionnaire should include questions about the prospective juror’s qualifications to serve in the case, any hardships that would prevent the prospective juror from serving, and whether the prospective juror could render a fair and impartial verdict.</w:t>
      </w:r>
    </w:p>
    <w:p w14:paraId="50CCF6BF" w14:textId="34D1870E" w:rsidR="00524D80" w:rsidRPr="0059763D" w:rsidRDefault="00524D80" w:rsidP="005B74CB">
      <w:pPr>
        <w:spacing w:line="480" w:lineRule="auto"/>
        <w:jc w:val="both"/>
        <w:rPr>
          <w:sz w:val="28"/>
          <w:szCs w:val="28"/>
        </w:rPr>
      </w:pPr>
    </w:p>
    <w:p w14:paraId="1628C107" w14:textId="159EA895" w:rsidR="00416451" w:rsidRDefault="00487F8C" w:rsidP="00416451">
      <w:pPr>
        <w:spacing w:line="480" w:lineRule="auto"/>
        <w:jc w:val="both"/>
        <w:rPr>
          <w:sz w:val="28"/>
          <w:szCs w:val="28"/>
        </w:rPr>
      </w:pPr>
      <w:r w:rsidRPr="0059763D">
        <w:rPr>
          <w:sz w:val="28"/>
          <w:szCs w:val="28"/>
        </w:rPr>
        <w:tab/>
      </w:r>
      <w:r w:rsidR="00246496">
        <w:rPr>
          <w:sz w:val="28"/>
          <w:szCs w:val="28"/>
        </w:rPr>
        <w:t xml:space="preserve">The proposed Task Force language for </w:t>
      </w:r>
      <w:r w:rsidRPr="0059763D">
        <w:rPr>
          <w:sz w:val="28"/>
          <w:szCs w:val="28"/>
        </w:rPr>
        <w:t>Rule 47(c)(3) does not make case-specific questionnaires mandatory</w:t>
      </w:r>
      <w:r w:rsidR="00EF531D">
        <w:rPr>
          <w:sz w:val="28"/>
          <w:szCs w:val="28"/>
        </w:rPr>
        <w:t>.</w:t>
      </w:r>
      <w:r w:rsidRPr="0059763D">
        <w:rPr>
          <w:sz w:val="28"/>
          <w:szCs w:val="28"/>
        </w:rPr>
        <w:t xml:space="preserve"> </w:t>
      </w:r>
      <w:r w:rsidR="00EF531D">
        <w:rPr>
          <w:sz w:val="28"/>
          <w:szCs w:val="28"/>
        </w:rPr>
        <w:t>H</w:t>
      </w:r>
      <w:r w:rsidR="00246496">
        <w:rPr>
          <w:sz w:val="28"/>
          <w:szCs w:val="28"/>
        </w:rPr>
        <w:t xml:space="preserve">owever, </w:t>
      </w:r>
      <w:r w:rsidRPr="0059763D">
        <w:rPr>
          <w:sz w:val="28"/>
          <w:szCs w:val="28"/>
        </w:rPr>
        <w:t xml:space="preserve">the rule suggests </w:t>
      </w:r>
      <w:r w:rsidR="00246496">
        <w:rPr>
          <w:sz w:val="28"/>
          <w:szCs w:val="28"/>
        </w:rPr>
        <w:t xml:space="preserve">case-specific questionnaires </w:t>
      </w:r>
      <w:r w:rsidR="00EF531D">
        <w:rPr>
          <w:sz w:val="28"/>
          <w:szCs w:val="28"/>
        </w:rPr>
        <w:t>“</w:t>
      </w:r>
      <w:r w:rsidRPr="0059763D">
        <w:rPr>
          <w:sz w:val="28"/>
          <w:szCs w:val="28"/>
        </w:rPr>
        <w:t>should</w:t>
      </w:r>
      <w:r w:rsidR="00EF531D">
        <w:rPr>
          <w:sz w:val="28"/>
          <w:szCs w:val="28"/>
        </w:rPr>
        <w:t>”</w:t>
      </w:r>
      <w:r w:rsidRPr="0059763D">
        <w:rPr>
          <w:sz w:val="28"/>
          <w:szCs w:val="28"/>
        </w:rPr>
        <w:t xml:space="preserve"> be the norm</w:t>
      </w:r>
      <w:r w:rsidR="00122AE0">
        <w:rPr>
          <w:sz w:val="28"/>
          <w:szCs w:val="28"/>
        </w:rPr>
        <w:t>.</w:t>
      </w:r>
      <w:r w:rsidR="006E1DCF">
        <w:rPr>
          <w:sz w:val="28"/>
          <w:szCs w:val="28"/>
        </w:rPr>
        <w:t xml:space="preserve">  </w:t>
      </w:r>
      <w:r w:rsidR="00954A88" w:rsidRPr="00954A88">
        <w:rPr>
          <w:sz w:val="28"/>
          <w:szCs w:val="28"/>
        </w:rPr>
        <w:t>Some members of the State Bar’s Civil Practice and Procedure Committee favored a proposal to revise the emergency rule to use more permissive “may” language, rather than the existing “should” language, with respect to case-specific written questionnaires. This position did not get majority support in the Committee.</w:t>
      </w:r>
    </w:p>
    <w:p w14:paraId="03EABC8B" w14:textId="44EEDB2E" w:rsidR="00524D80" w:rsidRDefault="00416451" w:rsidP="00416451">
      <w:pPr>
        <w:pStyle w:val="ListParagraph"/>
        <w:numPr>
          <w:ilvl w:val="0"/>
          <w:numId w:val="7"/>
        </w:numPr>
        <w:spacing w:line="240" w:lineRule="auto"/>
        <w:ind w:right="720"/>
        <w:jc w:val="both"/>
        <w:rPr>
          <w:b/>
          <w:sz w:val="28"/>
          <w:szCs w:val="28"/>
        </w:rPr>
      </w:pPr>
      <w:r>
        <w:rPr>
          <w:b/>
          <w:sz w:val="28"/>
          <w:szCs w:val="28"/>
        </w:rPr>
        <w:lastRenderedPageBreak/>
        <w:t>The Recommend</w:t>
      </w:r>
      <w:r w:rsidR="000F5F8E">
        <w:rPr>
          <w:b/>
          <w:sz w:val="28"/>
          <w:szCs w:val="28"/>
        </w:rPr>
        <w:t>ed</w:t>
      </w:r>
      <w:r>
        <w:rPr>
          <w:b/>
          <w:sz w:val="28"/>
          <w:szCs w:val="28"/>
        </w:rPr>
        <w:t xml:space="preserve"> </w:t>
      </w:r>
      <w:r w:rsidR="002568FF" w:rsidRPr="0059763D">
        <w:rPr>
          <w:b/>
          <w:sz w:val="28"/>
          <w:szCs w:val="28"/>
        </w:rPr>
        <w:t>Specific Language Changes to Certain Rules</w:t>
      </w:r>
      <w:r>
        <w:rPr>
          <w:b/>
          <w:sz w:val="28"/>
          <w:szCs w:val="28"/>
        </w:rPr>
        <w:t xml:space="preserve"> and Comments.</w:t>
      </w:r>
    </w:p>
    <w:p w14:paraId="09055D01" w14:textId="77777777" w:rsidR="00416451" w:rsidRPr="0059763D" w:rsidRDefault="00416451" w:rsidP="00416451">
      <w:pPr>
        <w:pStyle w:val="ListParagraph"/>
        <w:spacing w:line="240" w:lineRule="auto"/>
        <w:ind w:left="1080" w:right="720"/>
        <w:jc w:val="both"/>
        <w:rPr>
          <w:b/>
          <w:sz w:val="28"/>
          <w:szCs w:val="28"/>
        </w:rPr>
      </w:pPr>
    </w:p>
    <w:p w14:paraId="797B1873" w14:textId="77777777" w:rsidR="00524D80" w:rsidRPr="0059763D" w:rsidRDefault="00524D80" w:rsidP="005B74CB">
      <w:pPr>
        <w:spacing w:line="480" w:lineRule="auto"/>
        <w:ind w:firstLine="720"/>
        <w:jc w:val="both"/>
        <w:rPr>
          <w:b/>
          <w:sz w:val="28"/>
          <w:szCs w:val="28"/>
          <w:u w:val="single"/>
        </w:rPr>
      </w:pPr>
      <w:r w:rsidRPr="0059763D">
        <w:rPr>
          <w:b/>
          <w:sz w:val="28"/>
          <w:szCs w:val="28"/>
          <w:u w:val="single"/>
        </w:rPr>
        <w:t>Rule 47(b)(2)</w:t>
      </w:r>
    </w:p>
    <w:p w14:paraId="0265FC87" w14:textId="1A5B3E91" w:rsidR="00524D80" w:rsidRPr="0059763D" w:rsidRDefault="00BF1CA0" w:rsidP="005B74CB">
      <w:pPr>
        <w:spacing w:line="480" w:lineRule="auto"/>
        <w:ind w:firstLine="720"/>
        <w:jc w:val="both"/>
        <w:rPr>
          <w:sz w:val="28"/>
          <w:szCs w:val="28"/>
        </w:rPr>
      </w:pPr>
      <w:r w:rsidRPr="0059763D">
        <w:rPr>
          <w:sz w:val="28"/>
          <w:szCs w:val="28"/>
        </w:rPr>
        <w:t>Rule 47(b)(3) now mandates the sealing of questionnaires,</w:t>
      </w:r>
      <w:r w:rsidR="00416451">
        <w:rPr>
          <w:sz w:val="28"/>
          <w:szCs w:val="28"/>
        </w:rPr>
        <w:t xml:space="preserve"> but</w:t>
      </w:r>
      <w:r w:rsidRPr="0059763D">
        <w:rPr>
          <w:sz w:val="28"/>
          <w:szCs w:val="28"/>
        </w:rPr>
        <w:t xml:space="preserve"> </w:t>
      </w:r>
      <w:r w:rsidR="00A5114B">
        <w:rPr>
          <w:sz w:val="28"/>
          <w:szCs w:val="28"/>
        </w:rPr>
        <w:t>other personally identifying juror biographical information is maintained by the Clerk of the Superior Court and subject to confidentiality governed by Ariz. R. Supreme Ct. 123(e)(10), which should be upheld in the absence of a court</w:t>
      </w:r>
      <w:r w:rsidR="00416451">
        <w:rPr>
          <w:sz w:val="28"/>
          <w:szCs w:val="28"/>
        </w:rPr>
        <w:t xml:space="preserve"> order</w:t>
      </w:r>
      <w:r w:rsidR="00A5114B">
        <w:rPr>
          <w:sz w:val="28"/>
          <w:szCs w:val="28"/>
        </w:rPr>
        <w:t xml:space="preserve"> to the contrary</w:t>
      </w:r>
      <w:r w:rsidR="00122AE0">
        <w:rPr>
          <w:sz w:val="28"/>
          <w:szCs w:val="28"/>
        </w:rPr>
        <w:t>.</w:t>
      </w:r>
      <w:r w:rsidR="00486A46">
        <w:rPr>
          <w:rStyle w:val="FootnoteReference"/>
          <w:sz w:val="28"/>
          <w:szCs w:val="28"/>
        </w:rPr>
        <w:footnoteReference w:id="14"/>
      </w:r>
      <w:r w:rsidR="00122AE0">
        <w:rPr>
          <w:sz w:val="28"/>
          <w:szCs w:val="28"/>
        </w:rPr>
        <w:t xml:space="preserve"> </w:t>
      </w:r>
      <w:r w:rsidR="00A5114B">
        <w:rPr>
          <w:sz w:val="28"/>
          <w:szCs w:val="28"/>
        </w:rPr>
        <w:t>Therefore, the following slight revision</w:t>
      </w:r>
      <w:r w:rsidR="00416451">
        <w:rPr>
          <w:sz w:val="28"/>
          <w:szCs w:val="28"/>
        </w:rPr>
        <w:t xml:space="preserve"> to Rule 47(b)(2)</w:t>
      </w:r>
      <w:r w:rsidR="000F5F8E">
        <w:rPr>
          <w:sz w:val="28"/>
          <w:szCs w:val="28"/>
        </w:rPr>
        <w:t xml:space="preserve"> is recommended</w:t>
      </w:r>
      <w:r w:rsidR="00A5114B">
        <w:rPr>
          <w:sz w:val="28"/>
          <w:szCs w:val="28"/>
        </w:rPr>
        <w:t xml:space="preserve">: </w:t>
      </w:r>
    </w:p>
    <w:p w14:paraId="4AEA4F83" w14:textId="2CC700E2" w:rsidR="00524D80" w:rsidRPr="0059763D" w:rsidRDefault="00524D80" w:rsidP="00091C00">
      <w:pPr>
        <w:spacing w:line="240" w:lineRule="auto"/>
        <w:ind w:left="720" w:right="720"/>
        <w:jc w:val="both"/>
        <w:rPr>
          <w:sz w:val="28"/>
          <w:szCs w:val="28"/>
        </w:rPr>
      </w:pPr>
      <w:r w:rsidRPr="0059763D">
        <w:rPr>
          <w:sz w:val="28"/>
          <w:szCs w:val="28"/>
        </w:rPr>
        <w:t xml:space="preserve">(2) </w:t>
      </w:r>
      <w:r w:rsidRPr="00091C00">
        <w:rPr>
          <w:i/>
          <w:iCs/>
          <w:sz w:val="28"/>
          <w:szCs w:val="28"/>
        </w:rPr>
        <w:t>Confidentiality of Eligibility and Biographical Information.</w:t>
      </w:r>
      <w:r w:rsidRPr="0059763D">
        <w:rPr>
          <w:sz w:val="28"/>
          <w:szCs w:val="28"/>
        </w:rPr>
        <w:t xml:space="preserve"> The clerk must obtain and maintain juror information in a manner and form approved by the Supreme Court</w:t>
      </w:r>
      <w:r w:rsidR="00273CD7">
        <w:rPr>
          <w:sz w:val="28"/>
          <w:szCs w:val="28"/>
        </w:rPr>
        <w:t xml:space="preserve"> as set forth in statute, rule, Administrative Code, or Administrative Order,</w:t>
      </w:r>
      <w:r w:rsidRPr="0059763D">
        <w:rPr>
          <w:sz w:val="28"/>
          <w:szCs w:val="28"/>
        </w:rPr>
        <w:t xml:space="preserve"> and this information may only be used for the purpose of jury selection. </w:t>
      </w:r>
      <w:r w:rsidRPr="00273CD7">
        <w:rPr>
          <w:sz w:val="28"/>
          <w:szCs w:val="28"/>
        </w:rPr>
        <w:t xml:space="preserve">The clerk must keep all jurors’ home and business telephone numbers and addresses confidential and may not disclose them unless </w:t>
      </w:r>
      <w:r w:rsidR="00A5114B">
        <w:rPr>
          <w:sz w:val="28"/>
          <w:szCs w:val="28"/>
          <w:u w:val="single"/>
        </w:rPr>
        <w:t>by order of the court</w:t>
      </w:r>
      <w:r w:rsidR="00273CD7">
        <w:rPr>
          <w:sz w:val="28"/>
          <w:szCs w:val="28"/>
          <w:u w:val="single"/>
        </w:rPr>
        <w:t xml:space="preserve"> for</w:t>
      </w:r>
      <w:r w:rsidR="00A5114B">
        <w:rPr>
          <w:sz w:val="28"/>
          <w:szCs w:val="28"/>
          <w:u w:val="single"/>
        </w:rPr>
        <w:t xml:space="preserve"> </w:t>
      </w:r>
      <w:r w:rsidRPr="00273CD7">
        <w:rPr>
          <w:sz w:val="28"/>
          <w:szCs w:val="28"/>
        </w:rPr>
        <w:t>good cause</w:t>
      </w:r>
      <w:r w:rsidR="00273CD7" w:rsidRPr="00273CD7">
        <w:rPr>
          <w:strike/>
          <w:sz w:val="28"/>
          <w:szCs w:val="28"/>
        </w:rPr>
        <w:t xml:space="preserve"> is</w:t>
      </w:r>
      <w:r w:rsidRPr="00273CD7">
        <w:rPr>
          <w:sz w:val="28"/>
          <w:szCs w:val="28"/>
        </w:rPr>
        <w:t xml:space="preserve"> shown</w:t>
      </w:r>
      <w:r w:rsidR="00122AE0">
        <w:rPr>
          <w:sz w:val="28"/>
          <w:szCs w:val="28"/>
        </w:rPr>
        <w:t xml:space="preserve">. </w:t>
      </w:r>
      <w:r w:rsidRPr="0059763D">
        <w:rPr>
          <w:sz w:val="28"/>
          <w:szCs w:val="28"/>
        </w:rPr>
        <w:t xml:space="preserve">  </w:t>
      </w:r>
    </w:p>
    <w:p w14:paraId="20B43005" w14:textId="77777777" w:rsidR="00091C00" w:rsidRDefault="00524D80" w:rsidP="005B74CB">
      <w:pPr>
        <w:spacing w:line="480" w:lineRule="auto"/>
        <w:jc w:val="both"/>
        <w:rPr>
          <w:sz w:val="28"/>
          <w:szCs w:val="28"/>
        </w:rPr>
      </w:pPr>
      <w:r w:rsidRPr="0059763D">
        <w:rPr>
          <w:sz w:val="28"/>
          <w:szCs w:val="28"/>
        </w:rPr>
        <w:tab/>
      </w:r>
    </w:p>
    <w:p w14:paraId="19F92C2F" w14:textId="1119AAA5" w:rsidR="00524D80" w:rsidRPr="0059763D" w:rsidRDefault="00524D80" w:rsidP="005B74CB">
      <w:pPr>
        <w:spacing w:line="480" w:lineRule="auto"/>
        <w:jc w:val="both"/>
        <w:rPr>
          <w:b/>
          <w:sz w:val="28"/>
          <w:szCs w:val="28"/>
          <w:u w:val="single"/>
        </w:rPr>
      </w:pPr>
      <w:r w:rsidRPr="0059763D">
        <w:rPr>
          <w:b/>
          <w:sz w:val="28"/>
          <w:szCs w:val="28"/>
          <w:u w:val="single"/>
        </w:rPr>
        <w:t>Rule 47(c)(2)</w:t>
      </w:r>
    </w:p>
    <w:p w14:paraId="0720C784" w14:textId="638A1803" w:rsidR="00524D80" w:rsidRPr="0059763D" w:rsidRDefault="000F5F8E" w:rsidP="005B74CB">
      <w:pPr>
        <w:spacing w:line="480" w:lineRule="auto"/>
        <w:ind w:firstLine="720"/>
        <w:jc w:val="both"/>
        <w:rPr>
          <w:sz w:val="28"/>
          <w:szCs w:val="28"/>
        </w:rPr>
      </w:pPr>
      <w:r>
        <w:rPr>
          <w:sz w:val="28"/>
          <w:szCs w:val="28"/>
        </w:rPr>
        <w:t xml:space="preserve">Additionally, </w:t>
      </w:r>
      <w:r w:rsidR="00524D80" w:rsidRPr="0059763D">
        <w:rPr>
          <w:sz w:val="28"/>
          <w:szCs w:val="28"/>
        </w:rPr>
        <w:t>Rule 47(c)(2) should</w:t>
      </w:r>
      <w:r w:rsidR="009825DA" w:rsidRPr="0059763D">
        <w:rPr>
          <w:sz w:val="28"/>
          <w:szCs w:val="28"/>
        </w:rPr>
        <w:t xml:space="preserve"> be amended to</w:t>
      </w:r>
      <w:r w:rsidR="00524D80" w:rsidRPr="0059763D">
        <w:rPr>
          <w:sz w:val="28"/>
          <w:szCs w:val="28"/>
        </w:rPr>
        <w:t xml:space="preserve"> read:</w:t>
      </w:r>
    </w:p>
    <w:p w14:paraId="0F92CE86" w14:textId="50DE3B63" w:rsidR="00524D80" w:rsidRDefault="00524D80" w:rsidP="00091C00">
      <w:pPr>
        <w:spacing w:line="240" w:lineRule="auto"/>
        <w:ind w:left="720" w:right="720"/>
        <w:jc w:val="both"/>
        <w:rPr>
          <w:iCs/>
          <w:sz w:val="28"/>
          <w:szCs w:val="28"/>
          <w:u w:val="single"/>
        </w:rPr>
      </w:pPr>
      <w:r w:rsidRPr="0059763D">
        <w:rPr>
          <w:sz w:val="28"/>
          <w:szCs w:val="28"/>
        </w:rPr>
        <w:t xml:space="preserve">(2) </w:t>
      </w:r>
      <w:r w:rsidRPr="00273CD7">
        <w:rPr>
          <w:i/>
          <w:sz w:val="28"/>
          <w:szCs w:val="28"/>
        </w:rPr>
        <w:t>Explanation of</w:t>
      </w:r>
      <w:r w:rsidRPr="0059763D">
        <w:rPr>
          <w:sz w:val="28"/>
          <w:szCs w:val="28"/>
        </w:rPr>
        <w:t xml:space="preserve"> </w:t>
      </w:r>
      <w:r w:rsidRPr="0059763D">
        <w:rPr>
          <w:i/>
          <w:sz w:val="28"/>
          <w:szCs w:val="28"/>
        </w:rPr>
        <w:t>Voir Dire</w:t>
      </w:r>
      <w:r w:rsidRPr="0059763D">
        <w:rPr>
          <w:sz w:val="28"/>
          <w:szCs w:val="28"/>
        </w:rPr>
        <w:t xml:space="preserve">. At the beginning of any written or oral examination, the court must </w:t>
      </w:r>
      <w:r w:rsidR="00273CD7">
        <w:rPr>
          <w:sz w:val="28"/>
          <w:szCs w:val="28"/>
        </w:rPr>
        <w:t>provide information on</w:t>
      </w:r>
      <w:r w:rsidRPr="0059763D">
        <w:rPr>
          <w:sz w:val="28"/>
          <w:szCs w:val="28"/>
        </w:rPr>
        <w:t xml:space="preserve"> the purpose of </w:t>
      </w:r>
      <w:r w:rsidRPr="00091C00">
        <w:rPr>
          <w:iCs/>
          <w:sz w:val="28"/>
          <w:szCs w:val="28"/>
        </w:rPr>
        <w:t>voir dire</w:t>
      </w:r>
      <w:r w:rsidRPr="0059763D">
        <w:rPr>
          <w:sz w:val="28"/>
          <w:szCs w:val="28"/>
        </w:rPr>
        <w:t xml:space="preserve">, how the court and the parties will use the prospective jurors’ information, and who may have access to the information prospective jurors provide. </w:t>
      </w:r>
      <w:r w:rsidRPr="0059763D">
        <w:rPr>
          <w:iCs/>
          <w:sz w:val="28"/>
          <w:szCs w:val="28"/>
          <w:u w:val="single"/>
        </w:rPr>
        <w:t>Any case-specific written questionnaires used should include this information in an introduction.</w:t>
      </w:r>
    </w:p>
    <w:p w14:paraId="10EC35F2" w14:textId="77777777" w:rsidR="00091C00" w:rsidRPr="0059763D" w:rsidRDefault="00091C00" w:rsidP="00091C00">
      <w:pPr>
        <w:spacing w:line="240" w:lineRule="auto"/>
        <w:ind w:left="720" w:right="720"/>
        <w:jc w:val="both"/>
        <w:rPr>
          <w:iCs/>
          <w:sz w:val="28"/>
          <w:szCs w:val="28"/>
          <w:u w:val="single"/>
        </w:rPr>
      </w:pPr>
    </w:p>
    <w:p w14:paraId="0E8C3B12" w14:textId="41CEE476" w:rsidR="00E978FB" w:rsidRPr="0059763D" w:rsidRDefault="00524D80" w:rsidP="005B74CB">
      <w:pPr>
        <w:spacing w:line="480" w:lineRule="auto"/>
        <w:ind w:firstLine="720"/>
        <w:jc w:val="both"/>
        <w:rPr>
          <w:sz w:val="28"/>
          <w:szCs w:val="28"/>
        </w:rPr>
      </w:pPr>
      <w:r w:rsidRPr="0059763D">
        <w:rPr>
          <w:sz w:val="28"/>
          <w:szCs w:val="28"/>
        </w:rPr>
        <w:lastRenderedPageBreak/>
        <w:t xml:space="preserve"> </w:t>
      </w:r>
      <w:r w:rsidR="009825DA" w:rsidRPr="0059763D">
        <w:rPr>
          <w:sz w:val="28"/>
          <w:szCs w:val="28"/>
        </w:rPr>
        <w:t xml:space="preserve">The amendment would remind trial courts and parties drafting case-specific written questionnaires to include appropriate introductory and explanatory language, even when </w:t>
      </w:r>
      <w:r w:rsidR="009825DA" w:rsidRPr="00273CD7">
        <w:rPr>
          <w:i/>
          <w:sz w:val="28"/>
          <w:szCs w:val="28"/>
        </w:rPr>
        <w:t>voir dire</w:t>
      </w:r>
      <w:r w:rsidR="009825DA" w:rsidRPr="0059763D">
        <w:rPr>
          <w:sz w:val="28"/>
          <w:szCs w:val="28"/>
        </w:rPr>
        <w:t xml:space="preserve"> begins in a completely written format.</w:t>
      </w:r>
    </w:p>
    <w:p w14:paraId="723E42B9" w14:textId="77777777" w:rsidR="00091C00" w:rsidRPr="00091C00" w:rsidRDefault="00091C00" w:rsidP="00091C00">
      <w:pPr>
        <w:pStyle w:val="Default"/>
      </w:pPr>
    </w:p>
    <w:p w14:paraId="14FEC624" w14:textId="4272AF84" w:rsidR="004110AF" w:rsidRPr="0059763D" w:rsidRDefault="00524D80" w:rsidP="00300582">
      <w:pPr>
        <w:spacing w:line="480" w:lineRule="auto"/>
        <w:jc w:val="both"/>
        <w:rPr>
          <w:sz w:val="28"/>
          <w:szCs w:val="28"/>
        </w:rPr>
      </w:pPr>
      <w:r w:rsidRPr="0059763D">
        <w:rPr>
          <w:b/>
          <w:sz w:val="28"/>
          <w:szCs w:val="28"/>
          <w:u w:val="single"/>
        </w:rPr>
        <w:t>Rule 47(c)(5)</w:t>
      </w:r>
    </w:p>
    <w:p w14:paraId="6BADE401" w14:textId="49E71E82" w:rsidR="004B4790" w:rsidRDefault="009B50F8" w:rsidP="005B74CB">
      <w:pPr>
        <w:spacing w:line="480" w:lineRule="auto"/>
        <w:ind w:firstLine="720"/>
        <w:jc w:val="both"/>
        <w:rPr>
          <w:sz w:val="28"/>
          <w:szCs w:val="28"/>
        </w:rPr>
      </w:pPr>
      <w:r>
        <w:rPr>
          <w:sz w:val="28"/>
          <w:szCs w:val="28"/>
        </w:rPr>
        <w:t xml:space="preserve">While permitting liberal and comprehensive </w:t>
      </w:r>
      <w:r w:rsidRPr="00D20A4A">
        <w:rPr>
          <w:i/>
          <w:sz w:val="28"/>
          <w:szCs w:val="28"/>
        </w:rPr>
        <w:t>voir dire</w:t>
      </w:r>
      <w:r>
        <w:rPr>
          <w:sz w:val="28"/>
          <w:szCs w:val="28"/>
        </w:rPr>
        <w:t xml:space="preserve"> examination by</w:t>
      </w:r>
      <w:r w:rsidR="007B1923">
        <w:rPr>
          <w:sz w:val="28"/>
          <w:szCs w:val="28"/>
        </w:rPr>
        <w:t xml:space="preserve"> </w:t>
      </w:r>
      <w:r>
        <w:rPr>
          <w:sz w:val="28"/>
          <w:szCs w:val="28"/>
        </w:rPr>
        <w:t xml:space="preserve">the parties is encouraged, courts should be mindful </w:t>
      </w:r>
      <w:r w:rsidR="00C83A83">
        <w:rPr>
          <w:sz w:val="28"/>
          <w:szCs w:val="28"/>
        </w:rPr>
        <w:t xml:space="preserve">of parties attempting to argue the merits of the case. </w:t>
      </w:r>
      <w:r w:rsidR="00C83A83" w:rsidRPr="00C83A83">
        <w:rPr>
          <w:sz w:val="28"/>
          <w:szCs w:val="28"/>
        </w:rPr>
        <w:t xml:space="preserve">“Participation by counsel in the voir dire process frequently results in undue expenditure of time in the jury selection process, with selection of a jury that has been exposed to studied efforts to predispose the result before the trial commences in earnest.” </w:t>
      </w:r>
      <w:r w:rsidR="00C83A83" w:rsidRPr="00300582">
        <w:rPr>
          <w:i/>
          <w:sz w:val="28"/>
          <w:szCs w:val="28"/>
        </w:rPr>
        <w:t>See</w:t>
      </w:r>
      <w:r w:rsidR="00C83A83" w:rsidRPr="00C83A83">
        <w:rPr>
          <w:sz w:val="28"/>
          <w:szCs w:val="28"/>
        </w:rPr>
        <w:t xml:space="preserve"> </w:t>
      </w:r>
      <w:r w:rsidR="00C83A83" w:rsidRPr="00300582">
        <w:rPr>
          <w:i/>
          <w:sz w:val="28"/>
          <w:szCs w:val="28"/>
        </w:rPr>
        <w:t>Hicks v. Mickelson</w:t>
      </w:r>
      <w:r w:rsidR="00C83A83" w:rsidRPr="00C83A83">
        <w:rPr>
          <w:sz w:val="28"/>
          <w:szCs w:val="28"/>
        </w:rPr>
        <w:t>, 835 F.2d 721, 726 (8th Cir. 1987)</w:t>
      </w:r>
      <w:r w:rsidR="00300582">
        <w:rPr>
          <w:sz w:val="28"/>
          <w:szCs w:val="28"/>
        </w:rPr>
        <w:t>:</w:t>
      </w:r>
      <w:r w:rsidR="00C83A83">
        <w:rPr>
          <w:sz w:val="28"/>
          <w:szCs w:val="28"/>
        </w:rPr>
        <w:t xml:space="preserve">  </w:t>
      </w:r>
    </w:p>
    <w:p w14:paraId="54230792" w14:textId="77777777" w:rsidR="004B4790" w:rsidRPr="004B4790" w:rsidRDefault="004B4790" w:rsidP="004B4790">
      <w:pPr>
        <w:autoSpaceDE w:val="0"/>
        <w:autoSpaceDN w:val="0"/>
        <w:adjustRightInd w:val="0"/>
        <w:spacing w:line="240" w:lineRule="auto"/>
        <w:rPr>
          <w:rFonts w:eastAsiaTheme="minorHAnsi"/>
          <w:color w:val="000000"/>
          <w:sz w:val="24"/>
          <w:szCs w:val="24"/>
        </w:rPr>
      </w:pPr>
    </w:p>
    <w:p w14:paraId="6A892882" w14:textId="751BC1D2" w:rsidR="004B4790" w:rsidRDefault="004B4790" w:rsidP="004B4790">
      <w:pPr>
        <w:autoSpaceDE w:val="0"/>
        <w:autoSpaceDN w:val="0"/>
        <w:adjustRightInd w:val="0"/>
        <w:spacing w:line="240" w:lineRule="auto"/>
        <w:jc w:val="center"/>
        <w:rPr>
          <w:rFonts w:eastAsiaTheme="minorHAnsi"/>
          <w:b/>
          <w:bCs/>
          <w:sz w:val="26"/>
          <w:szCs w:val="26"/>
        </w:rPr>
      </w:pPr>
      <w:r w:rsidRPr="004B4790">
        <w:rPr>
          <w:rFonts w:eastAsiaTheme="minorHAnsi"/>
          <w:b/>
          <w:bCs/>
          <w:sz w:val="26"/>
          <w:szCs w:val="26"/>
        </w:rPr>
        <w:t>2022 Amendment to Rule 47(c)(5)</w:t>
      </w:r>
    </w:p>
    <w:p w14:paraId="26040616" w14:textId="44E784B5" w:rsidR="004B4790" w:rsidRPr="004B4790" w:rsidRDefault="004B4790" w:rsidP="004B4790">
      <w:pPr>
        <w:autoSpaceDE w:val="0"/>
        <w:autoSpaceDN w:val="0"/>
        <w:adjustRightInd w:val="0"/>
        <w:spacing w:line="240" w:lineRule="auto"/>
        <w:rPr>
          <w:rFonts w:eastAsiaTheme="minorHAnsi"/>
          <w:color w:val="000000"/>
          <w:sz w:val="24"/>
          <w:szCs w:val="24"/>
        </w:rPr>
      </w:pPr>
    </w:p>
    <w:p w14:paraId="6CBAC4A4" w14:textId="21BA4E5B" w:rsidR="00360D3E" w:rsidRPr="00300582" w:rsidRDefault="004B4790" w:rsidP="004B4790">
      <w:pPr>
        <w:spacing w:line="240" w:lineRule="auto"/>
        <w:ind w:left="720" w:right="720"/>
        <w:jc w:val="both"/>
        <w:rPr>
          <w:b/>
          <w:sz w:val="28"/>
          <w:szCs w:val="28"/>
          <w:u w:val="single"/>
        </w:rPr>
      </w:pPr>
      <w:r w:rsidRPr="004B4790">
        <w:rPr>
          <w:rFonts w:eastAsiaTheme="minorHAnsi"/>
          <w:sz w:val="26"/>
          <w:szCs w:val="26"/>
        </w:rPr>
        <w:t>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w:t>
      </w:r>
      <w:r>
        <w:rPr>
          <w:rFonts w:eastAsiaTheme="minorHAnsi"/>
          <w:sz w:val="26"/>
          <w:szCs w:val="26"/>
        </w:rPr>
        <w:t xml:space="preserve"> </w:t>
      </w:r>
      <w:r w:rsidRPr="00300582">
        <w:rPr>
          <w:rFonts w:eastAsiaTheme="minorHAnsi"/>
          <w:strike/>
          <w:sz w:val="26"/>
          <w:szCs w:val="26"/>
          <w:u w:val="single"/>
        </w:rPr>
        <w:t>The court, in its discretion, may permit counsel to ask such questions during voir dire</w:t>
      </w:r>
      <w:r>
        <w:rPr>
          <w:rFonts w:eastAsiaTheme="minorHAnsi"/>
          <w:sz w:val="26"/>
          <w:szCs w:val="26"/>
          <w:u w:val="single"/>
        </w:rPr>
        <w:t>.</w:t>
      </w:r>
      <w:r w:rsidRPr="004B4790">
        <w:rPr>
          <w:rFonts w:eastAsiaTheme="minorHAnsi"/>
          <w:sz w:val="26"/>
          <w:szCs w:val="26"/>
        </w:rPr>
        <w:t xml:space="preserve"> </w:t>
      </w:r>
      <w:r w:rsidR="00122AE0">
        <w:rPr>
          <w:sz w:val="28"/>
          <w:szCs w:val="28"/>
        </w:rPr>
        <w:t xml:space="preserve"> </w:t>
      </w:r>
      <w:r w:rsidR="009B50F8" w:rsidRPr="009B50F8">
        <w:rPr>
          <w:b/>
          <w:sz w:val="26"/>
          <w:szCs w:val="26"/>
          <w:u w:val="single"/>
        </w:rPr>
        <w:t>Nothing in this rule prevents the court from managing voir dire</w:t>
      </w:r>
      <w:r w:rsidR="00486A46">
        <w:rPr>
          <w:b/>
          <w:sz w:val="26"/>
          <w:szCs w:val="26"/>
          <w:u w:val="single"/>
        </w:rPr>
        <w:t xml:space="preserve"> and precluding improper questioning.</w:t>
      </w:r>
      <w:r w:rsidR="009B50F8" w:rsidRPr="009B50F8">
        <w:rPr>
          <w:b/>
          <w:sz w:val="26"/>
          <w:szCs w:val="26"/>
          <w:u w:val="single"/>
        </w:rPr>
        <w:t xml:space="preserve"> </w:t>
      </w:r>
    </w:p>
    <w:p w14:paraId="7FCA207B" w14:textId="4AE48926" w:rsidR="004B4790" w:rsidRDefault="004B4790" w:rsidP="004B4790">
      <w:pPr>
        <w:spacing w:line="240" w:lineRule="auto"/>
        <w:ind w:left="720" w:right="720"/>
        <w:jc w:val="both"/>
        <w:rPr>
          <w:sz w:val="28"/>
          <w:szCs w:val="28"/>
        </w:rPr>
      </w:pPr>
    </w:p>
    <w:p w14:paraId="3C6E440E" w14:textId="6D35B156" w:rsidR="000F5F8E" w:rsidRDefault="000F5F8E" w:rsidP="004B4790">
      <w:pPr>
        <w:spacing w:line="240" w:lineRule="auto"/>
        <w:ind w:left="720" w:right="720"/>
        <w:jc w:val="both"/>
        <w:rPr>
          <w:sz w:val="28"/>
          <w:szCs w:val="28"/>
        </w:rPr>
      </w:pPr>
    </w:p>
    <w:p w14:paraId="3FE131CB" w14:textId="270F3CCA" w:rsidR="000F5F8E" w:rsidRDefault="000F5F8E" w:rsidP="004B4790">
      <w:pPr>
        <w:spacing w:line="240" w:lineRule="auto"/>
        <w:ind w:left="720" w:right="720"/>
        <w:jc w:val="both"/>
        <w:rPr>
          <w:sz w:val="28"/>
          <w:szCs w:val="28"/>
        </w:rPr>
      </w:pPr>
    </w:p>
    <w:p w14:paraId="0E9BD8F1" w14:textId="0BDE5AF0" w:rsidR="0089215C" w:rsidRDefault="0089215C" w:rsidP="004B4790">
      <w:pPr>
        <w:spacing w:line="240" w:lineRule="auto"/>
        <w:ind w:left="720" w:right="720"/>
        <w:jc w:val="both"/>
        <w:rPr>
          <w:sz w:val="28"/>
          <w:szCs w:val="28"/>
        </w:rPr>
      </w:pPr>
    </w:p>
    <w:p w14:paraId="6C53644E" w14:textId="563BEA3D" w:rsidR="0089215C" w:rsidRDefault="0089215C" w:rsidP="004B4790">
      <w:pPr>
        <w:spacing w:line="240" w:lineRule="auto"/>
        <w:ind w:left="720" w:right="720"/>
        <w:jc w:val="both"/>
        <w:rPr>
          <w:sz w:val="28"/>
          <w:szCs w:val="28"/>
        </w:rPr>
      </w:pPr>
    </w:p>
    <w:p w14:paraId="53960132" w14:textId="3CB8CF9A" w:rsidR="0089215C" w:rsidRDefault="0089215C" w:rsidP="004B4790">
      <w:pPr>
        <w:spacing w:line="240" w:lineRule="auto"/>
        <w:ind w:left="720" w:right="720"/>
        <w:jc w:val="both"/>
        <w:rPr>
          <w:sz w:val="28"/>
          <w:szCs w:val="28"/>
        </w:rPr>
      </w:pPr>
    </w:p>
    <w:p w14:paraId="19012B21" w14:textId="77777777" w:rsidR="0089215C" w:rsidRDefault="0089215C" w:rsidP="004B4790">
      <w:pPr>
        <w:spacing w:line="240" w:lineRule="auto"/>
        <w:ind w:left="720" w:right="720"/>
        <w:jc w:val="both"/>
        <w:rPr>
          <w:sz w:val="28"/>
          <w:szCs w:val="28"/>
        </w:rPr>
      </w:pPr>
    </w:p>
    <w:p w14:paraId="5E6C1248" w14:textId="77777777" w:rsidR="000F5F8E" w:rsidRPr="0059763D" w:rsidRDefault="000F5F8E" w:rsidP="004B4790">
      <w:pPr>
        <w:spacing w:line="240" w:lineRule="auto"/>
        <w:ind w:left="720" w:right="720"/>
        <w:jc w:val="both"/>
        <w:rPr>
          <w:sz w:val="28"/>
          <w:szCs w:val="28"/>
        </w:rPr>
      </w:pPr>
    </w:p>
    <w:p w14:paraId="7AFBFF06" w14:textId="3BC6A51D" w:rsidR="00524D80" w:rsidRPr="0059763D" w:rsidRDefault="00524D80" w:rsidP="005B74CB">
      <w:pPr>
        <w:pStyle w:val="ListParagraph"/>
        <w:numPr>
          <w:ilvl w:val="0"/>
          <w:numId w:val="5"/>
        </w:numPr>
        <w:spacing w:line="480" w:lineRule="auto"/>
        <w:rPr>
          <w:b/>
          <w:bCs/>
          <w:sz w:val="28"/>
          <w:szCs w:val="28"/>
          <w:u w:val="single"/>
        </w:rPr>
      </w:pPr>
      <w:r w:rsidRPr="0059763D">
        <w:rPr>
          <w:b/>
          <w:bCs/>
          <w:sz w:val="28"/>
          <w:szCs w:val="28"/>
          <w:u w:val="single"/>
        </w:rPr>
        <w:lastRenderedPageBreak/>
        <w:t>C</w:t>
      </w:r>
      <w:r w:rsidR="00A370F1" w:rsidRPr="0059763D">
        <w:rPr>
          <w:b/>
          <w:bCs/>
          <w:sz w:val="28"/>
          <w:szCs w:val="28"/>
          <w:u w:val="single"/>
        </w:rPr>
        <w:t xml:space="preserve">onclusion </w:t>
      </w:r>
    </w:p>
    <w:p w14:paraId="3C9EA532" w14:textId="43C80740" w:rsidR="00524D80" w:rsidRDefault="00A370F1" w:rsidP="005B74CB">
      <w:pPr>
        <w:spacing w:line="480" w:lineRule="auto"/>
        <w:ind w:firstLine="720"/>
        <w:jc w:val="both"/>
        <w:rPr>
          <w:sz w:val="28"/>
          <w:szCs w:val="28"/>
        </w:rPr>
      </w:pPr>
      <w:r w:rsidRPr="0059763D">
        <w:rPr>
          <w:sz w:val="28"/>
          <w:szCs w:val="28"/>
        </w:rPr>
        <w:t>The State Bar</w:t>
      </w:r>
      <w:r w:rsidR="000F5F8E">
        <w:rPr>
          <w:sz w:val="28"/>
          <w:szCs w:val="28"/>
        </w:rPr>
        <w:t>’s</w:t>
      </w:r>
      <w:r w:rsidRPr="0059763D">
        <w:rPr>
          <w:sz w:val="28"/>
          <w:szCs w:val="28"/>
        </w:rPr>
        <w:t xml:space="preserve"> </w:t>
      </w:r>
      <w:r w:rsidR="000F5F8E">
        <w:rPr>
          <w:sz w:val="28"/>
          <w:szCs w:val="28"/>
        </w:rPr>
        <w:t>Civil Practice and Procedure Committee</w:t>
      </w:r>
      <w:r w:rsidRPr="0059763D">
        <w:rPr>
          <w:sz w:val="28"/>
          <w:szCs w:val="28"/>
        </w:rPr>
        <w:t xml:space="preserve"> supports </w:t>
      </w:r>
      <w:r w:rsidR="00881BF3" w:rsidRPr="0059763D">
        <w:rPr>
          <w:sz w:val="28"/>
          <w:szCs w:val="28"/>
        </w:rPr>
        <w:t xml:space="preserve">the permanent </w:t>
      </w:r>
      <w:r w:rsidRPr="0059763D">
        <w:rPr>
          <w:sz w:val="28"/>
          <w:szCs w:val="28"/>
        </w:rPr>
        <w:t xml:space="preserve">adoption of </w:t>
      </w:r>
      <w:r w:rsidR="00881BF3" w:rsidRPr="0059763D">
        <w:rPr>
          <w:sz w:val="28"/>
          <w:szCs w:val="28"/>
        </w:rPr>
        <w:t xml:space="preserve">the changes made on an emergency basis to </w:t>
      </w:r>
      <w:r w:rsidR="00813ACD">
        <w:rPr>
          <w:sz w:val="28"/>
          <w:szCs w:val="28"/>
        </w:rPr>
        <w:t>C</w:t>
      </w:r>
      <w:r w:rsidR="00813ACD" w:rsidRPr="0059763D">
        <w:rPr>
          <w:sz w:val="28"/>
          <w:szCs w:val="28"/>
        </w:rPr>
        <w:t xml:space="preserve">ivil </w:t>
      </w:r>
      <w:r w:rsidR="00813ACD">
        <w:rPr>
          <w:sz w:val="28"/>
          <w:szCs w:val="28"/>
        </w:rPr>
        <w:t>R</w:t>
      </w:r>
      <w:r w:rsidR="00813ACD" w:rsidRPr="0059763D">
        <w:rPr>
          <w:sz w:val="28"/>
          <w:szCs w:val="28"/>
        </w:rPr>
        <w:t xml:space="preserve">ules </w:t>
      </w:r>
      <w:r w:rsidR="00881BF3" w:rsidRPr="0059763D">
        <w:rPr>
          <w:sz w:val="28"/>
          <w:szCs w:val="28"/>
        </w:rPr>
        <w:t>16 and 47,</w:t>
      </w:r>
      <w:r w:rsidR="009825DA" w:rsidRPr="0059763D">
        <w:rPr>
          <w:sz w:val="28"/>
          <w:szCs w:val="28"/>
        </w:rPr>
        <w:t xml:space="preserve"> as well as the permanent adoption of the amended and additional Comments thereto,</w:t>
      </w:r>
      <w:r w:rsidR="00881BF3" w:rsidRPr="0059763D">
        <w:rPr>
          <w:sz w:val="28"/>
          <w:szCs w:val="28"/>
        </w:rPr>
        <w:t xml:space="preserve"> with those limited </w:t>
      </w:r>
      <w:r w:rsidR="00F70C59" w:rsidRPr="0059763D">
        <w:rPr>
          <w:sz w:val="28"/>
          <w:szCs w:val="28"/>
        </w:rPr>
        <w:t xml:space="preserve">modifications </w:t>
      </w:r>
      <w:r w:rsidR="00881BF3" w:rsidRPr="0059763D">
        <w:rPr>
          <w:sz w:val="28"/>
          <w:szCs w:val="28"/>
        </w:rPr>
        <w:t>outlined above</w:t>
      </w:r>
      <w:r w:rsidRPr="0059763D">
        <w:rPr>
          <w:sz w:val="28"/>
          <w:szCs w:val="28"/>
        </w:rPr>
        <w:t>.</w:t>
      </w:r>
    </w:p>
    <w:p w14:paraId="66ACDA22" w14:textId="103934C1" w:rsidR="00AA2C34" w:rsidRDefault="00AA2C34" w:rsidP="005B74CB">
      <w:pPr>
        <w:spacing w:line="480" w:lineRule="auto"/>
        <w:ind w:firstLine="720"/>
        <w:jc w:val="both"/>
        <w:rPr>
          <w:sz w:val="28"/>
          <w:szCs w:val="28"/>
        </w:rPr>
      </w:pPr>
    </w:p>
    <w:p w14:paraId="6726D164" w14:textId="77777777" w:rsidR="000F5F8E" w:rsidRDefault="000F5F8E">
      <w:pPr>
        <w:spacing w:after="160" w:line="259" w:lineRule="auto"/>
        <w:rPr>
          <w:b/>
          <w:i/>
          <w:iCs/>
          <w:sz w:val="26"/>
          <w:szCs w:val="26"/>
        </w:rPr>
      </w:pPr>
      <w:r>
        <w:rPr>
          <w:b/>
          <w:i/>
          <w:iCs/>
          <w:sz w:val="26"/>
          <w:szCs w:val="26"/>
        </w:rPr>
        <w:br w:type="page"/>
      </w:r>
    </w:p>
    <w:p w14:paraId="6AC28E2E" w14:textId="40A4C61B" w:rsidR="00AA2C34" w:rsidRPr="00E37DE8" w:rsidRDefault="00AA2C34" w:rsidP="00AA2C34">
      <w:pPr>
        <w:jc w:val="center"/>
        <w:rPr>
          <w:b/>
          <w:i/>
          <w:iCs/>
          <w:sz w:val="26"/>
          <w:szCs w:val="26"/>
        </w:rPr>
      </w:pPr>
      <w:r w:rsidRPr="00E37DE8">
        <w:rPr>
          <w:b/>
          <w:i/>
          <w:iCs/>
          <w:sz w:val="26"/>
          <w:szCs w:val="26"/>
        </w:rPr>
        <w:lastRenderedPageBreak/>
        <w:t xml:space="preserve"> (Blackline of Proposed Changes)</w:t>
      </w:r>
    </w:p>
    <w:p w14:paraId="44D57585" w14:textId="77777777" w:rsidR="00AA2C34" w:rsidRPr="00E37DE8" w:rsidRDefault="00AA2C34" w:rsidP="00AA2C34">
      <w:pPr>
        <w:rPr>
          <w:b/>
          <w:sz w:val="26"/>
          <w:szCs w:val="26"/>
        </w:rPr>
      </w:pPr>
      <w:r w:rsidRPr="00E37DE8">
        <w:rPr>
          <w:b/>
          <w:sz w:val="26"/>
          <w:szCs w:val="26"/>
        </w:rPr>
        <w:t xml:space="preserve">Rule 47. Jury Selection; Juror Information; </w:t>
      </w:r>
      <w:proofErr w:type="spellStart"/>
      <w:r w:rsidRPr="00E37DE8">
        <w:rPr>
          <w:b/>
          <w:sz w:val="26"/>
          <w:szCs w:val="26"/>
        </w:rPr>
        <w:t>Voir</w:t>
      </w:r>
      <w:proofErr w:type="spellEnd"/>
      <w:r w:rsidRPr="00E37DE8">
        <w:rPr>
          <w:b/>
          <w:sz w:val="26"/>
          <w:szCs w:val="26"/>
        </w:rPr>
        <w:t xml:space="preserve"> Dire; Challenges</w:t>
      </w:r>
    </w:p>
    <w:p w14:paraId="4C0A3DFE" w14:textId="77777777" w:rsidR="00AA2C34" w:rsidRPr="00E37DE8" w:rsidRDefault="00AA2C34" w:rsidP="00AA2C34">
      <w:pPr>
        <w:rPr>
          <w:b/>
          <w:sz w:val="26"/>
          <w:szCs w:val="26"/>
        </w:rPr>
      </w:pPr>
      <w:r w:rsidRPr="00E37DE8">
        <w:rPr>
          <w:b/>
          <w:bCs/>
          <w:sz w:val="26"/>
          <w:szCs w:val="26"/>
        </w:rPr>
        <w:t>. . .</w:t>
      </w:r>
    </w:p>
    <w:p w14:paraId="3FF90879" w14:textId="77777777" w:rsidR="00AA2C34" w:rsidRPr="00E37DE8" w:rsidRDefault="00AA2C34" w:rsidP="00AA2C34">
      <w:pPr>
        <w:rPr>
          <w:b/>
          <w:sz w:val="26"/>
          <w:szCs w:val="26"/>
        </w:rPr>
      </w:pPr>
      <w:r w:rsidRPr="00E37DE8">
        <w:rPr>
          <w:b/>
          <w:sz w:val="26"/>
          <w:szCs w:val="26"/>
        </w:rPr>
        <w:t>(b) Juror Information.</w:t>
      </w:r>
    </w:p>
    <w:p w14:paraId="4FC6E392" w14:textId="77777777" w:rsidR="00AA2C34" w:rsidRPr="00E37DE8" w:rsidRDefault="00AA2C34" w:rsidP="00AA2C34">
      <w:pPr>
        <w:rPr>
          <w:b/>
          <w:sz w:val="26"/>
          <w:szCs w:val="26"/>
        </w:rPr>
      </w:pPr>
      <w:r w:rsidRPr="00E37DE8">
        <w:rPr>
          <w:b/>
          <w:sz w:val="26"/>
          <w:szCs w:val="26"/>
        </w:rPr>
        <w:t xml:space="preserve">   (1) [No change]</w:t>
      </w:r>
    </w:p>
    <w:p w14:paraId="1C153B2C" w14:textId="77777777" w:rsidR="00AA2C34" w:rsidRPr="00E37DE8" w:rsidRDefault="00AA2C34" w:rsidP="00AA2C34">
      <w:pPr>
        <w:spacing w:line="240" w:lineRule="auto"/>
        <w:ind w:left="630" w:right="720" w:hanging="630"/>
        <w:jc w:val="both"/>
        <w:rPr>
          <w:sz w:val="26"/>
          <w:szCs w:val="26"/>
        </w:rPr>
      </w:pPr>
      <w:r w:rsidRPr="00E37DE8">
        <w:rPr>
          <w:sz w:val="26"/>
          <w:szCs w:val="26"/>
        </w:rPr>
        <w:t xml:space="preserve">   (2) </w:t>
      </w:r>
      <w:r w:rsidRPr="00E37DE8">
        <w:rPr>
          <w:i/>
          <w:iCs/>
          <w:sz w:val="26"/>
          <w:szCs w:val="26"/>
        </w:rPr>
        <w:t>Confidentiality of Eligibility and Biographical Information.</w:t>
      </w:r>
      <w:r w:rsidRPr="00E37DE8">
        <w:rPr>
          <w:sz w:val="26"/>
          <w:szCs w:val="26"/>
        </w:rPr>
        <w:t xml:space="preserve"> The clerk must obtain and maintain juror information in a manner and form approved by the Supreme Court as set forth in statute, rule, Administrative Code, or Administrative Order, and this information may only be used for the purpose of jury selection. The clerk must keep all jurors’ home and business telephone numbers and addresses confidential and may not disclose them unless </w:t>
      </w:r>
      <w:r w:rsidRPr="00E37DE8">
        <w:rPr>
          <w:sz w:val="26"/>
          <w:szCs w:val="26"/>
          <w:u w:val="single"/>
        </w:rPr>
        <w:t xml:space="preserve">by order of the court for </w:t>
      </w:r>
      <w:r w:rsidRPr="00E37DE8">
        <w:rPr>
          <w:sz w:val="26"/>
          <w:szCs w:val="26"/>
        </w:rPr>
        <w:t>good cause</w:t>
      </w:r>
      <w:r w:rsidRPr="00E37DE8">
        <w:rPr>
          <w:strike/>
          <w:sz w:val="26"/>
          <w:szCs w:val="26"/>
        </w:rPr>
        <w:t xml:space="preserve"> is</w:t>
      </w:r>
      <w:r w:rsidRPr="00E37DE8">
        <w:rPr>
          <w:sz w:val="26"/>
          <w:szCs w:val="26"/>
        </w:rPr>
        <w:t xml:space="preserve"> shown.   </w:t>
      </w:r>
    </w:p>
    <w:p w14:paraId="758BC65F" w14:textId="77777777" w:rsidR="00AA2C34" w:rsidRPr="00E37DE8" w:rsidRDefault="00AA2C34" w:rsidP="00AA2C34">
      <w:pPr>
        <w:spacing w:line="480" w:lineRule="auto"/>
        <w:jc w:val="both"/>
        <w:rPr>
          <w:sz w:val="26"/>
          <w:szCs w:val="26"/>
        </w:rPr>
      </w:pPr>
      <w:r w:rsidRPr="00E37DE8">
        <w:rPr>
          <w:sz w:val="26"/>
          <w:szCs w:val="26"/>
        </w:rPr>
        <w:t>. . .</w:t>
      </w:r>
      <w:r w:rsidRPr="00E37DE8">
        <w:rPr>
          <w:sz w:val="26"/>
          <w:szCs w:val="26"/>
        </w:rPr>
        <w:tab/>
      </w:r>
    </w:p>
    <w:p w14:paraId="0E461DFB" w14:textId="77777777" w:rsidR="00AA2C34" w:rsidRPr="00E37DE8" w:rsidRDefault="00AA2C34" w:rsidP="00AA2C34">
      <w:pPr>
        <w:rPr>
          <w:b/>
          <w:sz w:val="26"/>
          <w:szCs w:val="26"/>
        </w:rPr>
      </w:pPr>
      <w:r w:rsidRPr="00E37DE8">
        <w:rPr>
          <w:b/>
          <w:sz w:val="26"/>
          <w:szCs w:val="26"/>
        </w:rPr>
        <w:t xml:space="preserve">(c) </w:t>
      </w:r>
      <w:proofErr w:type="spellStart"/>
      <w:r w:rsidRPr="00E37DE8">
        <w:rPr>
          <w:b/>
          <w:sz w:val="26"/>
          <w:szCs w:val="26"/>
        </w:rPr>
        <w:t>Voir</w:t>
      </w:r>
      <w:proofErr w:type="spellEnd"/>
      <w:r w:rsidRPr="00E37DE8">
        <w:rPr>
          <w:b/>
          <w:sz w:val="26"/>
          <w:szCs w:val="26"/>
        </w:rPr>
        <w:t xml:space="preserve"> Dire Oath and Procedure.</w:t>
      </w:r>
    </w:p>
    <w:p w14:paraId="32F8D637" w14:textId="77777777" w:rsidR="00AA2C34" w:rsidRPr="00E37DE8" w:rsidRDefault="00AA2C34" w:rsidP="00AA2C34">
      <w:pPr>
        <w:rPr>
          <w:b/>
          <w:sz w:val="26"/>
          <w:szCs w:val="26"/>
        </w:rPr>
      </w:pPr>
      <w:r w:rsidRPr="00E37DE8">
        <w:rPr>
          <w:b/>
          <w:sz w:val="26"/>
          <w:szCs w:val="26"/>
        </w:rPr>
        <w:t xml:space="preserve">   (1) [No change]</w:t>
      </w:r>
    </w:p>
    <w:p w14:paraId="0F3EC005" w14:textId="77777777" w:rsidR="00AA2C34" w:rsidRPr="00E37DE8" w:rsidRDefault="00AA2C34" w:rsidP="00AA2C34">
      <w:pPr>
        <w:spacing w:line="240" w:lineRule="auto"/>
        <w:ind w:left="720" w:right="720" w:hanging="720"/>
        <w:jc w:val="both"/>
        <w:rPr>
          <w:iCs/>
          <w:sz w:val="26"/>
          <w:szCs w:val="26"/>
          <w:u w:val="single"/>
        </w:rPr>
      </w:pPr>
      <w:r w:rsidRPr="00E37DE8">
        <w:rPr>
          <w:sz w:val="26"/>
          <w:szCs w:val="26"/>
        </w:rPr>
        <w:t xml:space="preserve">   (2) </w:t>
      </w:r>
      <w:r w:rsidRPr="00E37DE8">
        <w:rPr>
          <w:i/>
          <w:sz w:val="26"/>
          <w:szCs w:val="26"/>
        </w:rPr>
        <w:t>Explanation of</w:t>
      </w:r>
      <w:r w:rsidRPr="00E37DE8">
        <w:rPr>
          <w:sz w:val="26"/>
          <w:szCs w:val="26"/>
        </w:rPr>
        <w:t xml:space="preserve"> </w:t>
      </w:r>
      <w:proofErr w:type="spellStart"/>
      <w:r w:rsidRPr="00E37DE8">
        <w:rPr>
          <w:i/>
          <w:sz w:val="26"/>
          <w:szCs w:val="26"/>
        </w:rPr>
        <w:t>Voir</w:t>
      </w:r>
      <w:proofErr w:type="spellEnd"/>
      <w:r w:rsidRPr="00E37DE8">
        <w:rPr>
          <w:i/>
          <w:sz w:val="26"/>
          <w:szCs w:val="26"/>
        </w:rPr>
        <w:t xml:space="preserve"> Dire</w:t>
      </w:r>
      <w:r w:rsidRPr="00E37DE8">
        <w:rPr>
          <w:sz w:val="26"/>
          <w:szCs w:val="26"/>
        </w:rPr>
        <w:t xml:space="preserve">. At the beginning of any written or oral examination, the court must provide information on the purpose of </w:t>
      </w:r>
      <w:proofErr w:type="spellStart"/>
      <w:r w:rsidRPr="00E37DE8">
        <w:rPr>
          <w:iCs/>
          <w:sz w:val="26"/>
          <w:szCs w:val="26"/>
        </w:rPr>
        <w:t>voir</w:t>
      </w:r>
      <w:proofErr w:type="spellEnd"/>
      <w:r w:rsidRPr="00E37DE8">
        <w:rPr>
          <w:iCs/>
          <w:sz w:val="26"/>
          <w:szCs w:val="26"/>
        </w:rPr>
        <w:t xml:space="preserve"> dire</w:t>
      </w:r>
      <w:r w:rsidRPr="00E37DE8">
        <w:rPr>
          <w:sz w:val="26"/>
          <w:szCs w:val="26"/>
        </w:rPr>
        <w:t xml:space="preserve">, how the court and the parties will use the prospective jurors’ information, and who may have access to the information prospective jurors provide. </w:t>
      </w:r>
      <w:r w:rsidRPr="00E37DE8">
        <w:rPr>
          <w:iCs/>
          <w:sz w:val="26"/>
          <w:szCs w:val="26"/>
          <w:u w:val="single"/>
        </w:rPr>
        <w:t>Any case-specific written questionnaires used should include this information in an introduction.</w:t>
      </w:r>
    </w:p>
    <w:p w14:paraId="75593098" w14:textId="77777777" w:rsidR="00AA2C34" w:rsidRPr="00E37DE8" w:rsidRDefault="00AA2C34" w:rsidP="00AA2C34">
      <w:pPr>
        <w:spacing w:line="240" w:lineRule="auto"/>
        <w:ind w:left="720" w:right="720" w:hanging="720"/>
        <w:jc w:val="both"/>
        <w:rPr>
          <w:sz w:val="26"/>
          <w:szCs w:val="26"/>
        </w:rPr>
      </w:pPr>
      <w:r w:rsidRPr="00E37DE8">
        <w:rPr>
          <w:iCs/>
          <w:sz w:val="26"/>
          <w:szCs w:val="26"/>
        </w:rPr>
        <w:t xml:space="preserve">   </w:t>
      </w:r>
    </w:p>
    <w:p w14:paraId="79AA1A92" w14:textId="77777777" w:rsidR="00AA2C34" w:rsidRPr="00E37DE8" w:rsidRDefault="00AA2C34" w:rsidP="00AA2C34">
      <w:pPr>
        <w:spacing w:line="240" w:lineRule="auto"/>
        <w:ind w:left="720" w:right="720" w:hanging="720"/>
        <w:jc w:val="both"/>
        <w:rPr>
          <w:iCs/>
          <w:sz w:val="26"/>
          <w:szCs w:val="26"/>
          <w:u w:val="single"/>
        </w:rPr>
      </w:pPr>
      <w:r w:rsidRPr="00E37DE8">
        <w:rPr>
          <w:sz w:val="26"/>
          <w:szCs w:val="26"/>
        </w:rPr>
        <w:t>. . .</w:t>
      </w:r>
    </w:p>
    <w:p w14:paraId="0DCA4DDA" w14:textId="77777777" w:rsidR="00AA2C34" w:rsidRDefault="00AA2C34" w:rsidP="00AA2C34">
      <w:pPr>
        <w:rPr>
          <w:b/>
          <w:bCs/>
          <w:sz w:val="26"/>
          <w:szCs w:val="26"/>
        </w:rPr>
      </w:pPr>
    </w:p>
    <w:p w14:paraId="25194C95" w14:textId="77777777" w:rsidR="00AA2C34" w:rsidRPr="00E37DE8" w:rsidRDefault="00AA2C34" w:rsidP="00AA2C34">
      <w:pPr>
        <w:jc w:val="center"/>
        <w:rPr>
          <w:b/>
          <w:bCs/>
          <w:sz w:val="26"/>
          <w:szCs w:val="26"/>
        </w:rPr>
      </w:pPr>
      <w:r w:rsidRPr="00E37DE8">
        <w:rPr>
          <w:b/>
          <w:bCs/>
          <w:sz w:val="26"/>
          <w:szCs w:val="26"/>
        </w:rPr>
        <w:t>COMMENTS [as amended 2022]</w:t>
      </w:r>
    </w:p>
    <w:p w14:paraId="569BC64C" w14:textId="77777777" w:rsidR="00AA2C34" w:rsidRPr="00E37DE8" w:rsidRDefault="00AA2C34" w:rsidP="00AA2C34">
      <w:pPr>
        <w:rPr>
          <w:b/>
          <w:bCs/>
          <w:sz w:val="26"/>
          <w:szCs w:val="26"/>
        </w:rPr>
      </w:pPr>
      <w:r w:rsidRPr="00E37DE8">
        <w:rPr>
          <w:b/>
          <w:bCs/>
          <w:sz w:val="26"/>
          <w:szCs w:val="26"/>
        </w:rPr>
        <w:t>. . .</w:t>
      </w:r>
    </w:p>
    <w:p w14:paraId="3113271B" w14:textId="77777777" w:rsidR="00AA2C34" w:rsidRPr="00E37DE8" w:rsidRDefault="00AA2C34" w:rsidP="00AA2C34">
      <w:pPr>
        <w:autoSpaceDE w:val="0"/>
        <w:autoSpaceDN w:val="0"/>
        <w:adjustRightInd w:val="0"/>
        <w:spacing w:line="240" w:lineRule="auto"/>
        <w:jc w:val="center"/>
        <w:rPr>
          <w:b/>
          <w:bCs/>
          <w:sz w:val="26"/>
          <w:szCs w:val="26"/>
        </w:rPr>
      </w:pPr>
      <w:r w:rsidRPr="00E37DE8">
        <w:rPr>
          <w:b/>
          <w:bCs/>
          <w:sz w:val="26"/>
          <w:szCs w:val="26"/>
        </w:rPr>
        <w:t>2022 Amendment to Rule 47(c)(5)</w:t>
      </w:r>
    </w:p>
    <w:p w14:paraId="46CFF3F3" w14:textId="77777777" w:rsidR="00AA2C34" w:rsidRPr="004B4790" w:rsidRDefault="00AA2C34" w:rsidP="00AA2C34">
      <w:pPr>
        <w:autoSpaceDE w:val="0"/>
        <w:autoSpaceDN w:val="0"/>
        <w:adjustRightInd w:val="0"/>
        <w:spacing w:line="240" w:lineRule="auto"/>
        <w:rPr>
          <w:color w:val="000000"/>
          <w:sz w:val="26"/>
          <w:szCs w:val="26"/>
        </w:rPr>
      </w:pPr>
    </w:p>
    <w:p w14:paraId="32CE9382" w14:textId="77777777" w:rsidR="00AA2C34" w:rsidRPr="00E37DE8" w:rsidRDefault="00AA2C34" w:rsidP="00AA2C34">
      <w:pPr>
        <w:spacing w:line="240" w:lineRule="auto"/>
        <w:ind w:left="720" w:right="720"/>
        <w:jc w:val="both"/>
        <w:rPr>
          <w:sz w:val="26"/>
          <w:szCs w:val="26"/>
        </w:rPr>
      </w:pPr>
      <w:r w:rsidRPr="00E37DE8">
        <w:rPr>
          <w:sz w:val="26"/>
          <w:szCs w:val="26"/>
        </w:rPr>
        <w:t xml:space="preserve">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 </w:t>
      </w:r>
      <w:r w:rsidRPr="00D474AF">
        <w:rPr>
          <w:strike/>
          <w:sz w:val="26"/>
          <w:szCs w:val="26"/>
        </w:rPr>
        <w:t xml:space="preserve">The court, in its discretion, may permit counsel to ask such questions during </w:t>
      </w:r>
      <w:proofErr w:type="spellStart"/>
      <w:r w:rsidRPr="00D474AF">
        <w:rPr>
          <w:strike/>
          <w:sz w:val="26"/>
          <w:szCs w:val="26"/>
        </w:rPr>
        <w:t>voir</w:t>
      </w:r>
      <w:proofErr w:type="spellEnd"/>
      <w:r w:rsidRPr="00D474AF">
        <w:rPr>
          <w:strike/>
          <w:sz w:val="26"/>
          <w:szCs w:val="26"/>
        </w:rPr>
        <w:t xml:space="preserve"> </w:t>
      </w:r>
      <w:r w:rsidRPr="00D474AF">
        <w:rPr>
          <w:strike/>
          <w:sz w:val="26"/>
          <w:szCs w:val="26"/>
        </w:rPr>
        <w:lastRenderedPageBreak/>
        <w:t>dire</w:t>
      </w:r>
      <w:r w:rsidRPr="00D474AF">
        <w:rPr>
          <w:sz w:val="26"/>
          <w:szCs w:val="26"/>
        </w:rPr>
        <w:t>.</w:t>
      </w:r>
      <w:r w:rsidRPr="00E37DE8">
        <w:rPr>
          <w:sz w:val="26"/>
          <w:szCs w:val="26"/>
        </w:rPr>
        <w:t xml:space="preserve"> </w:t>
      </w:r>
      <w:r w:rsidRPr="00D474AF">
        <w:rPr>
          <w:b/>
          <w:sz w:val="26"/>
          <w:szCs w:val="26"/>
          <w:u w:val="single"/>
        </w:rPr>
        <w:t xml:space="preserve">Nothing in this rule prevents the court from managing </w:t>
      </w:r>
      <w:proofErr w:type="spellStart"/>
      <w:r w:rsidRPr="00D474AF">
        <w:rPr>
          <w:b/>
          <w:sz w:val="26"/>
          <w:szCs w:val="26"/>
          <w:u w:val="single"/>
        </w:rPr>
        <w:t>voir</w:t>
      </w:r>
      <w:proofErr w:type="spellEnd"/>
      <w:r w:rsidRPr="00D474AF">
        <w:rPr>
          <w:b/>
          <w:sz w:val="26"/>
          <w:szCs w:val="26"/>
          <w:u w:val="single"/>
        </w:rPr>
        <w:t xml:space="preserve"> dire </w:t>
      </w:r>
      <w:r>
        <w:rPr>
          <w:b/>
          <w:sz w:val="26"/>
          <w:szCs w:val="26"/>
          <w:u w:val="single"/>
        </w:rPr>
        <w:t xml:space="preserve">and precluding improper questioning. </w:t>
      </w:r>
    </w:p>
    <w:p w14:paraId="39FDC116" w14:textId="77777777" w:rsidR="00AA2C34" w:rsidRPr="00E37DE8" w:rsidRDefault="00AA2C34" w:rsidP="00AA2C34">
      <w:pPr>
        <w:rPr>
          <w:b/>
          <w:bCs/>
          <w:sz w:val="26"/>
          <w:szCs w:val="26"/>
        </w:rPr>
      </w:pPr>
    </w:p>
    <w:p w14:paraId="56E5412F" w14:textId="77777777" w:rsidR="00AA2C34" w:rsidRPr="00E37DE8" w:rsidRDefault="00AA2C34" w:rsidP="00AA2C34">
      <w:pPr>
        <w:rPr>
          <w:sz w:val="26"/>
          <w:szCs w:val="26"/>
        </w:rPr>
      </w:pPr>
      <w:r w:rsidRPr="00E37DE8">
        <w:rPr>
          <w:sz w:val="26"/>
          <w:szCs w:val="26"/>
        </w:rPr>
        <w:br w:type="page"/>
      </w:r>
    </w:p>
    <w:p w14:paraId="340279E6" w14:textId="41EA3281" w:rsidR="00AA2C34" w:rsidRPr="00E37DE8" w:rsidRDefault="00AA2C34" w:rsidP="002C56B4">
      <w:pPr>
        <w:jc w:val="center"/>
        <w:rPr>
          <w:b/>
          <w:i/>
          <w:iCs/>
          <w:sz w:val="26"/>
          <w:szCs w:val="26"/>
        </w:rPr>
      </w:pPr>
      <w:bookmarkStart w:id="0" w:name="_GoBack"/>
      <w:bookmarkEnd w:id="0"/>
      <w:r w:rsidRPr="00E37DE8">
        <w:rPr>
          <w:b/>
          <w:i/>
          <w:iCs/>
          <w:sz w:val="26"/>
          <w:szCs w:val="26"/>
        </w:rPr>
        <w:lastRenderedPageBreak/>
        <w:t>(Clean Version)</w:t>
      </w:r>
    </w:p>
    <w:p w14:paraId="5E0B2D84" w14:textId="77777777" w:rsidR="00AA2C34" w:rsidRPr="00E37DE8" w:rsidRDefault="00AA2C34" w:rsidP="00AA2C34">
      <w:pPr>
        <w:rPr>
          <w:b/>
          <w:sz w:val="26"/>
          <w:szCs w:val="26"/>
        </w:rPr>
      </w:pPr>
      <w:r w:rsidRPr="00E37DE8">
        <w:rPr>
          <w:b/>
          <w:sz w:val="26"/>
          <w:szCs w:val="26"/>
        </w:rPr>
        <w:t xml:space="preserve">Rule 47. Jury Selection; Juror Information; </w:t>
      </w:r>
      <w:proofErr w:type="spellStart"/>
      <w:r w:rsidRPr="00E37DE8">
        <w:rPr>
          <w:b/>
          <w:sz w:val="26"/>
          <w:szCs w:val="26"/>
        </w:rPr>
        <w:t>Voir</w:t>
      </w:r>
      <w:proofErr w:type="spellEnd"/>
      <w:r w:rsidRPr="00E37DE8">
        <w:rPr>
          <w:b/>
          <w:sz w:val="26"/>
          <w:szCs w:val="26"/>
        </w:rPr>
        <w:t xml:space="preserve"> Dire; Challenges</w:t>
      </w:r>
    </w:p>
    <w:p w14:paraId="6DDE0D4C" w14:textId="77777777" w:rsidR="00AA2C34" w:rsidRPr="00E37DE8" w:rsidRDefault="00AA2C34" w:rsidP="00AA2C34">
      <w:pPr>
        <w:rPr>
          <w:b/>
          <w:sz w:val="26"/>
          <w:szCs w:val="26"/>
        </w:rPr>
      </w:pPr>
      <w:r w:rsidRPr="00E37DE8">
        <w:rPr>
          <w:b/>
          <w:bCs/>
          <w:sz w:val="26"/>
          <w:szCs w:val="26"/>
        </w:rPr>
        <w:t>. . .</w:t>
      </w:r>
    </w:p>
    <w:p w14:paraId="7AB10F79" w14:textId="77777777" w:rsidR="00AA2C34" w:rsidRPr="00E37DE8" w:rsidRDefault="00AA2C34" w:rsidP="00AA2C34">
      <w:pPr>
        <w:rPr>
          <w:b/>
          <w:sz w:val="26"/>
          <w:szCs w:val="26"/>
        </w:rPr>
      </w:pPr>
      <w:r w:rsidRPr="00E37DE8">
        <w:rPr>
          <w:b/>
          <w:sz w:val="26"/>
          <w:szCs w:val="26"/>
        </w:rPr>
        <w:t>(b) Juror Information.</w:t>
      </w:r>
    </w:p>
    <w:p w14:paraId="75AB8054" w14:textId="77777777" w:rsidR="00AA2C34" w:rsidRPr="00E37DE8" w:rsidRDefault="00AA2C34" w:rsidP="00AA2C34">
      <w:pPr>
        <w:rPr>
          <w:b/>
          <w:sz w:val="26"/>
          <w:szCs w:val="26"/>
        </w:rPr>
      </w:pPr>
      <w:r w:rsidRPr="00E37DE8">
        <w:rPr>
          <w:b/>
          <w:sz w:val="26"/>
          <w:szCs w:val="26"/>
        </w:rPr>
        <w:t xml:space="preserve">   (1) [No change]</w:t>
      </w:r>
    </w:p>
    <w:p w14:paraId="4F66FB98" w14:textId="77777777" w:rsidR="00AA2C34" w:rsidRPr="00E37DE8" w:rsidRDefault="00AA2C34" w:rsidP="00AA2C34">
      <w:pPr>
        <w:spacing w:line="240" w:lineRule="auto"/>
        <w:ind w:left="630" w:right="720" w:hanging="630"/>
        <w:jc w:val="both"/>
        <w:rPr>
          <w:sz w:val="26"/>
          <w:szCs w:val="26"/>
        </w:rPr>
      </w:pPr>
      <w:r w:rsidRPr="00E37DE8">
        <w:rPr>
          <w:sz w:val="26"/>
          <w:szCs w:val="26"/>
        </w:rPr>
        <w:t xml:space="preserve">   (2) </w:t>
      </w:r>
      <w:r w:rsidRPr="00E37DE8">
        <w:rPr>
          <w:i/>
          <w:iCs/>
          <w:sz w:val="26"/>
          <w:szCs w:val="26"/>
        </w:rPr>
        <w:t>Confidentiality of Eligibility and Biographical Information.</w:t>
      </w:r>
      <w:r w:rsidRPr="00E37DE8">
        <w:rPr>
          <w:sz w:val="26"/>
          <w:szCs w:val="26"/>
        </w:rPr>
        <w:t xml:space="preserve"> The clerk must obtain and maintain juror information in a manner and form approved by the Supreme Court as set forth in statute, rule, Administrative Code, or Administrative Order, and this information may only be used for the purpose of jury selection. The clerk must keep all jurors’ home and business telephone numbers and addresses confidential and may not disclose them unless by order of the court for</w:t>
      </w:r>
      <w:r>
        <w:rPr>
          <w:sz w:val="26"/>
          <w:szCs w:val="26"/>
        </w:rPr>
        <w:t xml:space="preserve"> </w:t>
      </w:r>
      <w:r w:rsidRPr="00E37DE8">
        <w:rPr>
          <w:sz w:val="26"/>
          <w:szCs w:val="26"/>
        </w:rPr>
        <w:t xml:space="preserve">good cause shown.   </w:t>
      </w:r>
    </w:p>
    <w:p w14:paraId="3CCED168" w14:textId="77777777" w:rsidR="00AA2C34" w:rsidRPr="00E37DE8" w:rsidRDefault="00AA2C34" w:rsidP="00AA2C34">
      <w:pPr>
        <w:spacing w:line="480" w:lineRule="auto"/>
        <w:jc w:val="both"/>
        <w:rPr>
          <w:sz w:val="26"/>
          <w:szCs w:val="26"/>
        </w:rPr>
      </w:pPr>
      <w:r w:rsidRPr="00E37DE8">
        <w:rPr>
          <w:sz w:val="26"/>
          <w:szCs w:val="26"/>
        </w:rPr>
        <w:t>. . .</w:t>
      </w:r>
      <w:r w:rsidRPr="00E37DE8">
        <w:rPr>
          <w:sz w:val="26"/>
          <w:szCs w:val="26"/>
        </w:rPr>
        <w:tab/>
      </w:r>
    </w:p>
    <w:p w14:paraId="65445ECB" w14:textId="77777777" w:rsidR="00AA2C34" w:rsidRPr="00E37DE8" w:rsidRDefault="00AA2C34" w:rsidP="00AA2C34">
      <w:pPr>
        <w:rPr>
          <w:b/>
          <w:sz w:val="26"/>
          <w:szCs w:val="26"/>
        </w:rPr>
      </w:pPr>
      <w:r w:rsidRPr="00E37DE8">
        <w:rPr>
          <w:b/>
          <w:sz w:val="26"/>
          <w:szCs w:val="26"/>
        </w:rPr>
        <w:t xml:space="preserve">(c) </w:t>
      </w:r>
      <w:proofErr w:type="spellStart"/>
      <w:r w:rsidRPr="00E37DE8">
        <w:rPr>
          <w:b/>
          <w:sz w:val="26"/>
          <w:szCs w:val="26"/>
        </w:rPr>
        <w:t>Voir</w:t>
      </w:r>
      <w:proofErr w:type="spellEnd"/>
      <w:r w:rsidRPr="00E37DE8">
        <w:rPr>
          <w:b/>
          <w:sz w:val="26"/>
          <w:szCs w:val="26"/>
        </w:rPr>
        <w:t xml:space="preserve"> Dire Oath and Procedure.</w:t>
      </w:r>
    </w:p>
    <w:p w14:paraId="0AF56DB0" w14:textId="77777777" w:rsidR="00AA2C34" w:rsidRPr="00E37DE8" w:rsidRDefault="00AA2C34" w:rsidP="00AA2C34">
      <w:pPr>
        <w:rPr>
          <w:b/>
          <w:sz w:val="26"/>
          <w:szCs w:val="26"/>
        </w:rPr>
      </w:pPr>
      <w:r w:rsidRPr="00E37DE8">
        <w:rPr>
          <w:b/>
          <w:sz w:val="26"/>
          <w:szCs w:val="26"/>
        </w:rPr>
        <w:t xml:space="preserve">   (1) [No change]</w:t>
      </w:r>
    </w:p>
    <w:p w14:paraId="047DA78C" w14:textId="77777777" w:rsidR="00AA2C34" w:rsidRPr="00E37DE8" w:rsidRDefault="00AA2C34" w:rsidP="00AA2C34">
      <w:pPr>
        <w:spacing w:line="240" w:lineRule="auto"/>
        <w:ind w:left="720" w:right="720" w:hanging="720"/>
        <w:jc w:val="both"/>
        <w:rPr>
          <w:iCs/>
          <w:sz w:val="26"/>
          <w:szCs w:val="26"/>
        </w:rPr>
      </w:pPr>
      <w:r w:rsidRPr="00E37DE8">
        <w:rPr>
          <w:sz w:val="26"/>
          <w:szCs w:val="26"/>
        </w:rPr>
        <w:t xml:space="preserve">   (2) </w:t>
      </w:r>
      <w:r w:rsidRPr="00E37DE8">
        <w:rPr>
          <w:i/>
          <w:sz w:val="26"/>
          <w:szCs w:val="26"/>
        </w:rPr>
        <w:t>Explanation of</w:t>
      </w:r>
      <w:r w:rsidRPr="00E37DE8">
        <w:rPr>
          <w:sz w:val="26"/>
          <w:szCs w:val="26"/>
        </w:rPr>
        <w:t xml:space="preserve"> </w:t>
      </w:r>
      <w:proofErr w:type="spellStart"/>
      <w:r w:rsidRPr="00E37DE8">
        <w:rPr>
          <w:i/>
          <w:sz w:val="26"/>
          <w:szCs w:val="26"/>
        </w:rPr>
        <w:t>Voir</w:t>
      </w:r>
      <w:proofErr w:type="spellEnd"/>
      <w:r w:rsidRPr="00E37DE8">
        <w:rPr>
          <w:i/>
          <w:sz w:val="26"/>
          <w:szCs w:val="26"/>
        </w:rPr>
        <w:t xml:space="preserve"> Dire</w:t>
      </w:r>
      <w:r w:rsidRPr="00E37DE8">
        <w:rPr>
          <w:sz w:val="26"/>
          <w:szCs w:val="26"/>
        </w:rPr>
        <w:t xml:space="preserve">. At the beginning of any written or oral examination, the court must provide information on the purpose of </w:t>
      </w:r>
      <w:proofErr w:type="spellStart"/>
      <w:r w:rsidRPr="00E37DE8">
        <w:rPr>
          <w:iCs/>
          <w:sz w:val="26"/>
          <w:szCs w:val="26"/>
        </w:rPr>
        <w:t>voir</w:t>
      </w:r>
      <w:proofErr w:type="spellEnd"/>
      <w:r w:rsidRPr="00E37DE8">
        <w:rPr>
          <w:iCs/>
          <w:sz w:val="26"/>
          <w:szCs w:val="26"/>
        </w:rPr>
        <w:t xml:space="preserve"> dire</w:t>
      </w:r>
      <w:r w:rsidRPr="00E37DE8">
        <w:rPr>
          <w:sz w:val="26"/>
          <w:szCs w:val="26"/>
        </w:rPr>
        <w:t xml:space="preserve">, how the court and the parties will use the prospective jurors’ information, and who may have access to the information prospective jurors provide. </w:t>
      </w:r>
      <w:r w:rsidRPr="00E37DE8">
        <w:rPr>
          <w:iCs/>
          <w:sz w:val="26"/>
          <w:szCs w:val="26"/>
        </w:rPr>
        <w:t>Any case-specific written questionnaires used should include this information in an introduction.</w:t>
      </w:r>
    </w:p>
    <w:p w14:paraId="63915896" w14:textId="77777777" w:rsidR="00AA2C34" w:rsidRPr="00E37DE8" w:rsidRDefault="00AA2C34" w:rsidP="00AA2C34">
      <w:pPr>
        <w:spacing w:line="240" w:lineRule="auto"/>
        <w:ind w:left="720" w:right="720" w:hanging="720"/>
        <w:jc w:val="both"/>
        <w:rPr>
          <w:sz w:val="26"/>
          <w:szCs w:val="26"/>
        </w:rPr>
      </w:pPr>
      <w:r w:rsidRPr="00E37DE8">
        <w:rPr>
          <w:iCs/>
          <w:sz w:val="26"/>
          <w:szCs w:val="26"/>
        </w:rPr>
        <w:t xml:space="preserve">   </w:t>
      </w:r>
    </w:p>
    <w:p w14:paraId="5A004B35" w14:textId="77777777" w:rsidR="00AA2C34" w:rsidRPr="00E37DE8" w:rsidRDefault="00AA2C34" w:rsidP="00AA2C34">
      <w:pPr>
        <w:spacing w:line="240" w:lineRule="auto"/>
        <w:ind w:left="720" w:right="720" w:hanging="720"/>
        <w:jc w:val="both"/>
        <w:rPr>
          <w:iCs/>
          <w:sz w:val="26"/>
          <w:szCs w:val="26"/>
          <w:u w:val="single"/>
        </w:rPr>
      </w:pPr>
      <w:r w:rsidRPr="00E37DE8">
        <w:rPr>
          <w:sz w:val="26"/>
          <w:szCs w:val="26"/>
        </w:rPr>
        <w:t>. . .</w:t>
      </w:r>
    </w:p>
    <w:p w14:paraId="58520C7D" w14:textId="77777777" w:rsidR="00AA2C34" w:rsidRDefault="00AA2C34" w:rsidP="00AA2C34">
      <w:pPr>
        <w:spacing w:line="240" w:lineRule="auto"/>
        <w:ind w:left="720" w:right="720" w:hanging="720"/>
        <w:jc w:val="both"/>
        <w:rPr>
          <w:b/>
          <w:bCs/>
          <w:sz w:val="26"/>
          <w:szCs w:val="26"/>
        </w:rPr>
      </w:pPr>
    </w:p>
    <w:p w14:paraId="5EB60840" w14:textId="77777777" w:rsidR="00AA2C34" w:rsidRPr="00E37DE8" w:rsidRDefault="00AA2C34" w:rsidP="00AA2C34">
      <w:pPr>
        <w:jc w:val="center"/>
        <w:rPr>
          <w:b/>
          <w:bCs/>
          <w:sz w:val="26"/>
          <w:szCs w:val="26"/>
        </w:rPr>
      </w:pPr>
      <w:r w:rsidRPr="00E37DE8">
        <w:rPr>
          <w:b/>
          <w:bCs/>
          <w:sz w:val="26"/>
          <w:szCs w:val="26"/>
        </w:rPr>
        <w:t>COMMENTS [as amended 2022]</w:t>
      </w:r>
    </w:p>
    <w:p w14:paraId="08676E39" w14:textId="77777777" w:rsidR="00AA2C34" w:rsidRPr="00E37DE8" w:rsidRDefault="00AA2C34" w:rsidP="00AA2C34">
      <w:pPr>
        <w:rPr>
          <w:b/>
          <w:bCs/>
          <w:sz w:val="26"/>
          <w:szCs w:val="26"/>
        </w:rPr>
      </w:pPr>
      <w:r w:rsidRPr="00E37DE8">
        <w:rPr>
          <w:b/>
          <w:bCs/>
          <w:sz w:val="26"/>
          <w:szCs w:val="26"/>
        </w:rPr>
        <w:t>. . .</w:t>
      </w:r>
    </w:p>
    <w:p w14:paraId="02FC3490" w14:textId="77777777" w:rsidR="00AA2C34" w:rsidRPr="00E37DE8" w:rsidRDefault="00AA2C34" w:rsidP="00AA2C34">
      <w:pPr>
        <w:autoSpaceDE w:val="0"/>
        <w:autoSpaceDN w:val="0"/>
        <w:adjustRightInd w:val="0"/>
        <w:spacing w:line="240" w:lineRule="auto"/>
        <w:jc w:val="center"/>
        <w:rPr>
          <w:b/>
          <w:bCs/>
          <w:sz w:val="26"/>
          <w:szCs w:val="26"/>
        </w:rPr>
      </w:pPr>
      <w:r w:rsidRPr="00E37DE8">
        <w:rPr>
          <w:b/>
          <w:bCs/>
          <w:sz w:val="26"/>
          <w:szCs w:val="26"/>
        </w:rPr>
        <w:t>2022 Amendment to Rule 47(c)(5)</w:t>
      </w:r>
    </w:p>
    <w:p w14:paraId="2079201A" w14:textId="77777777" w:rsidR="00AA2C34" w:rsidRPr="004B4790" w:rsidRDefault="00AA2C34" w:rsidP="00AA2C34">
      <w:pPr>
        <w:autoSpaceDE w:val="0"/>
        <w:autoSpaceDN w:val="0"/>
        <w:adjustRightInd w:val="0"/>
        <w:spacing w:line="240" w:lineRule="auto"/>
        <w:rPr>
          <w:color w:val="000000"/>
          <w:sz w:val="26"/>
          <w:szCs w:val="26"/>
        </w:rPr>
      </w:pPr>
    </w:p>
    <w:p w14:paraId="61D14A3B" w14:textId="77777777" w:rsidR="00AA2C34" w:rsidRPr="00E37DE8" w:rsidRDefault="00AA2C34" w:rsidP="00AA2C34">
      <w:pPr>
        <w:ind w:left="720" w:right="720"/>
        <w:jc w:val="both"/>
        <w:rPr>
          <w:sz w:val="26"/>
          <w:szCs w:val="26"/>
        </w:rPr>
      </w:pPr>
      <w:r w:rsidRPr="00E37DE8">
        <w:rPr>
          <w:sz w:val="26"/>
          <w:szCs w:val="26"/>
        </w:rPr>
        <w:t xml:space="preserve">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w:t>
      </w:r>
      <w:r w:rsidRPr="00E37DE8">
        <w:rPr>
          <w:sz w:val="26"/>
          <w:szCs w:val="26"/>
        </w:rPr>
        <w:lastRenderedPageBreak/>
        <w:t>asking leading, conclusory questions that encourage prospective jurors to affirm that they can set aside their opinions and neutrally apply the law.</w:t>
      </w:r>
      <w:r>
        <w:rPr>
          <w:sz w:val="26"/>
          <w:szCs w:val="26"/>
        </w:rPr>
        <w:t xml:space="preserve"> </w:t>
      </w:r>
      <w:r w:rsidRPr="00E84BED">
        <w:rPr>
          <w:sz w:val="26"/>
          <w:szCs w:val="26"/>
        </w:rPr>
        <w:t xml:space="preserve">Nothing in this rule prevents the court from managing </w:t>
      </w:r>
      <w:proofErr w:type="spellStart"/>
      <w:r w:rsidRPr="00E84BED">
        <w:rPr>
          <w:sz w:val="26"/>
          <w:szCs w:val="26"/>
        </w:rPr>
        <w:t>voir</w:t>
      </w:r>
      <w:proofErr w:type="spellEnd"/>
      <w:r w:rsidRPr="00E84BED">
        <w:rPr>
          <w:sz w:val="26"/>
          <w:szCs w:val="26"/>
        </w:rPr>
        <w:t xml:space="preserve"> dire and precluding improper questioning.</w:t>
      </w:r>
    </w:p>
    <w:p w14:paraId="7DA980E3" w14:textId="77777777" w:rsidR="00AA2C34" w:rsidRPr="0059763D" w:rsidRDefault="00AA2C34" w:rsidP="005B74CB">
      <w:pPr>
        <w:spacing w:line="480" w:lineRule="auto"/>
        <w:ind w:firstLine="720"/>
        <w:jc w:val="both"/>
        <w:rPr>
          <w:sz w:val="28"/>
          <w:szCs w:val="28"/>
        </w:rPr>
      </w:pPr>
    </w:p>
    <w:p w14:paraId="3783A395" w14:textId="77777777" w:rsidR="00A370F1" w:rsidRPr="0059763D" w:rsidRDefault="00A370F1" w:rsidP="00A370F1">
      <w:pPr>
        <w:ind w:firstLine="720"/>
        <w:jc w:val="both"/>
        <w:rPr>
          <w:sz w:val="28"/>
          <w:szCs w:val="28"/>
        </w:rPr>
      </w:pPr>
    </w:p>
    <w:p w14:paraId="50B7A77A" w14:textId="77777777" w:rsidR="000858F0" w:rsidRPr="0059763D" w:rsidRDefault="000858F0" w:rsidP="000858F0">
      <w:pPr>
        <w:pStyle w:val="Body"/>
        <w:widowControl w:val="0"/>
        <w:ind w:firstLine="0"/>
        <w:jc w:val="both"/>
        <w:rPr>
          <w:sz w:val="28"/>
          <w:szCs w:val="28"/>
        </w:rPr>
      </w:pPr>
    </w:p>
    <w:sectPr w:rsidR="000858F0" w:rsidRPr="005976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2ECF1" w14:textId="77777777" w:rsidR="00FD43E5" w:rsidRDefault="00FD43E5" w:rsidP="001C63B2">
      <w:pPr>
        <w:spacing w:line="240" w:lineRule="auto"/>
      </w:pPr>
      <w:r>
        <w:separator/>
      </w:r>
    </w:p>
  </w:endnote>
  <w:endnote w:type="continuationSeparator" w:id="0">
    <w:p w14:paraId="042CE59D" w14:textId="77777777" w:rsidR="00FD43E5" w:rsidRDefault="00FD43E5" w:rsidP="001C6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541913"/>
      <w:docPartObj>
        <w:docPartGallery w:val="Page Numbers (Bottom of Page)"/>
        <w:docPartUnique/>
      </w:docPartObj>
    </w:sdtPr>
    <w:sdtEndPr>
      <w:rPr>
        <w:noProof/>
      </w:rPr>
    </w:sdtEndPr>
    <w:sdtContent>
      <w:p w14:paraId="37686424" w14:textId="5502D0B7" w:rsidR="00776603" w:rsidRDefault="00776603">
        <w:pPr>
          <w:pStyle w:val="Footer"/>
          <w:jc w:val="center"/>
        </w:pPr>
        <w:r>
          <w:fldChar w:fldCharType="begin"/>
        </w:r>
        <w:r>
          <w:instrText xml:space="preserve"> PAGE   \* MERGEFORMAT </w:instrText>
        </w:r>
        <w:r>
          <w:fldChar w:fldCharType="separate"/>
        </w:r>
        <w:r w:rsidR="002C56B4">
          <w:rPr>
            <w:noProof/>
          </w:rPr>
          <w:t>13</w:t>
        </w:r>
        <w:r>
          <w:rPr>
            <w:noProof/>
          </w:rPr>
          <w:fldChar w:fldCharType="end"/>
        </w:r>
      </w:p>
    </w:sdtContent>
  </w:sdt>
  <w:p w14:paraId="0ADDFA5E" w14:textId="77777777" w:rsidR="00776603" w:rsidRDefault="00776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7EF23" w14:textId="77777777" w:rsidR="00FD43E5" w:rsidRDefault="00FD43E5" w:rsidP="001C63B2">
      <w:pPr>
        <w:spacing w:line="240" w:lineRule="auto"/>
      </w:pPr>
      <w:r>
        <w:separator/>
      </w:r>
    </w:p>
  </w:footnote>
  <w:footnote w:type="continuationSeparator" w:id="0">
    <w:p w14:paraId="3B827C96" w14:textId="77777777" w:rsidR="00FD43E5" w:rsidRDefault="00FD43E5" w:rsidP="001C63B2">
      <w:pPr>
        <w:spacing w:line="240" w:lineRule="auto"/>
      </w:pPr>
      <w:r>
        <w:continuationSeparator/>
      </w:r>
    </w:p>
  </w:footnote>
  <w:footnote w:id="1">
    <w:p w14:paraId="72606620" w14:textId="7F46EEE7" w:rsidR="00524D80" w:rsidRPr="005B74CB" w:rsidRDefault="00524D80" w:rsidP="00524D80">
      <w:pPr>
        <w:pStyle w:val="FootnoteText"/>
        <w:jc w:val="both"/>
        <w:rPr>
          <w:sz w:val="28"/>
          <w:szCs w:val="28"/>
        </w:rPr>
      </w:pPr>
      <w:r w:rsidRPr="005B74CB">
        <w:rPr>
          <w:rStyle w:val="FootnoteReference"/>
          <w:sz w:val="28"/>
          <w:szCs w:val="28"/>
        </w:rPr>
        <w:footnoteRef/>
      </w:r>
      <w:r w:rsidRPr="005B74CB">
        <w:rPr>
          <w:sz w:val="28"/>
          <w:szCs w:val="28"/>
        </w:rPr>
        <w:t xml:space="preserve"> Report and Recommendations Statewide Jury Selection Workgroup: A Workgroup of the Task Force on Jury Data Collection, Practices, and Procedures, November 1, 2021, at 3 (“Task Force November Report”). </w:t>
      </w:r>
    </w:p>
  </w:footnote>
  <w:footnote w:id="2">
    <w:p w14:paraId="2E7DF1B8" w14:textId="6323235B" w:rsidR="007E0F54" w:rsidRPr="005B74CB" w:rsidRDefault="007E0F54">
      <w:pPr>
        <w:pStyle w:val="FootnoteText"/>
        <w:rPr>
          <w:sz w:val="28"/>
          <w:szCs w:val="28"/>
        </w:rPr>
      </w:pPr>
      <w:r w:rsidRPr="005B74CB">
        <w:rPr>
          <w:rStyle w:val="FootnoteReference"/>
          <w:sz w:val="28"/>
          <w:szCs w:val="28"/>
        </w:rPr>
        <w:footnoteRef/>
      </w:r>
      <w:r w:rsidRPr="005B74CB">
        <w:rPr>
          <w:sz w:val="28"/>
          <w:szCs w:val="28"/>
        </w:rPr>
        <w:t xml:space="preserve"> This Court’s Comment to the 2022 Amendment to Rule 47(c)(5) counsels trial courts to, among other things, “refrain from imposing inflexible time limits.”</w:t>
      </w:r>
    </w:p>
  </w:footnote>
  <w:footnote w:id="3">
    <w:p w14:paraId="4C4BD367" w14:textId="5F9EC168" w:rsidR="00524D80" w:rsidRPr="006D18EC" w:rsidRDefault="00524D80" w:rsidP="00524D80">
      <w:pPr>
        <w:pStyle w:val="FootnoteText"/>
        <w:jc w:val="both"/>
      </w:pPr>
      <w:r w:rsidRPr="005B74CB">
        <w:rPr>
          <w:rStyle w:val="FootnoteReference"/>
          <w:sz w:val="28"/>
          <w:szCs w:val="28"/>
        </w:rPr>
        <w:footnoteRef/>
      </w:r>
      <w:r w:rsidRPr="005B74CB">
        <w:rPr>
          <w:sz w:val="28"/>
          <w:szCs w:val="28"/>
        </w:rPr>
        <w:t xml:space="preserve"> </w:t>
      </w:r>
      <w:r w:rsidRPr="005B74CB">
        <w:rPr>
          <w:i/>
          <w:sz w:val="28"/>
          <w:szCs w:val="28"/>
        </w:rPr>
        <w:t>Supra</w:t>
      </w:r>
      <w:r w:rsidRPr="005B74CB">
        <w:rPr>
          <w:sz w:val="28"/>
          <w:szCs w:val="28"/>
        </w:rPr>
        <w:t>, Task Force November Report at 4.</w:t>
      </w:r>
      <w:r w:rsidRPr="006D18EC">
        <w:t xml:space="preserve"> </w:t>
      </w:r>
    </w:p>
  </w:footnote>
  <w:footnote w:id="4">
    <w:p w14:paraId="5261522B" w14:textId="62F9A0C3" w:rsidR="00E06A25" w:rsidRPr="005B74CB" w:rsidRDefault="00E06A25">
      <w:pPr>
        <w:pStyle w:val="FootnoteText"/>
        <w:rPr>
          <w:sz w:val="28"/>
          <w:szCs w:val="28"/>
        </w:rPr>
      </w:pPr>
      <w:r w:rsidRPr="005B74CB">
        <w:rPr>
          <w:rStyle w:val="FootnoteReference"/>
          <w:sz w:val="28"/>
          <w:szCs w:val="28"/>
        </w:rPr>
        <w:footnoteRef/>
      </w:r>
      <w:r w:rsidRPr="005B74CB">
        <w:rPr>
          <w:sz w:val="28"/>
          <w:szCs w:val="28"/>
        </w:rPr>
        <w:t xml:space="preserve"> Salerno, J.M.., Campbell, J.C., Phalen, H.J., Bean, S.R., Hans V., Spivack, D., &amp; Ross, L.</w:t>
      </w:r>
      <w:r w:rsidR="0055519F" w:rsidRPr="005B74CB">
        <w:rPr>
          <w:sz w:val="28"/>
          <w:szCs w:val="28"/>
        </w:rPr>
        <w:t xml:space="preserve"> </w:t>
      </w:r>
      <w:r w:rsidRPr="005B74CB">
        <w:rPr>
          <w:sz w:val="28"/>
          <w:szCs w:val="28"/>
        </w:rPr>
        <w:t>(in press)  “The Impact of Minimal versus Extended Voir Dire and Judicial Rehabilitation on Mock Juror’s Decisions in Civil Cases” Law and Human Behavior (American Psychological Association)</w:t>
      </w:r>
      <w:r w:rsidR="00F1628F" w:rsidRPr="005B74CB">
        <w:rPr>
          <w:sz w:val="28"/>
          <w:szCs w:val="28"/>
        </w:rPr>
        <w:t>, volume 45 Issue 4 (August), attached hereto as Exhibit</w:t>
      </w:r>
      <w:r w:rsidR="007F010E" w:rsidRPr="005B74CB">
        <w:rPr>
          <w:sz w:val="28"/>
          <w:szCs w:val="28"/>
        </w:rPr>
        <w:t xml:space="preserve"> </w:t>
      </w:r>
      <w:r w:rsidR="003100AF">
        <w:rPr>
          <w:sz w:val="28"/>
          <w:szCs w:val="28"/>
        </w:rPr>
        <w:t>1</w:t>
      </w:r>
      <w:r w:rsidR="007F010E" w:rsidRPr="005B74CB">
        <w:rPr>
          <w:sz w:val="28"/>
          <w:szCs w:val="28"/>
        </w:rPr>
        <w:t>.</w:t>
      </w:r>
      <w:r w:rsidR="00F1628F" w:rsidRPr="005B74CB">
        <w:rPr>
          <w:sz w:val="28"/>
          <w:szCs w:val="28"/>
        </w:rPr>
        <w:t xml:space="preserve"> </w:t>
      </w:r>
    </w:p>
  </w:footnote>
  <w:footnote w:id="5">
    <w:p w14:paraId="3C65A3D1" w14:textId="6DE8C221" w:rsidR="00294F08" w:rsidRPr="005B74CB" w:rsidRDefault="00294F08" w:rsidP="0089215C">
      <w:pPr>
        <w:pStyle w:val="FootnoteText"/>
        <w:jc w:val="both"/>
        <w:rPr>
          <w:sz w:val="28"/>
          <w:szCs w:val="28"/>
        </w:rPr>
      </w:pPr>
      <w:r w:rsidRPr="005B74CB">
        <w:rPr>
          <w:rStyle w:val="FootnoteReference"/>
          <w:sz w:val="28"/>
          <w:szCs w:val="28"/>
        </w:rPr>
        <w:footnoteRef/>
      </w:r>
      <w:r w:rsidRPr="005B74CB">
        <w:rPr>
          <w:sz w:val="28"/>
          <w:szCs w:val="28"/>
        </w:rPr>
        <w:t xml:space="preserve"> This paper references multiple sources regarding “bias</w:t>
      </w:r>
      <w:r w:rsidR="007E0F54" w:rsidRPr="005B74CB">
        <w:rPr>
          <w:sz w:val="28"/>
          <w:szCs w:val="28"/>
        </w:rPr>
        <w:t>,</w:t>
      </w:r>
      <w:r w:rsidRPr="005B74CB">
        <w:rPr>
          <w:sz w:val="28"/>
          <w:szCs w:val="28"/>
        </w:rPr>
        <w:t>” one of which is the concept of “implicit bias</w:t>
      </w:r>
      <w:r w:rsidR="007E0F54" w:rsidRPr="005B74CB">
        <w:rPr>
          <w:sz w:val="28"/>
          <w:szCs w:val="28"/>
        </w:rPr>
        <w:t>.</w:t>
      </w:r>
      <w:r w:rsidRPr="005B74CB">
        <w:rPr>
          <w:sz w:val="28"/>
          <w:szCs w:val="28"/>
        </w:rPr>
        <w:t xml:space="preserve">”  </w:t>
      </w:r>
      <w:r w:rsidR="007E0F54" w:rsidRPr="005B74CB">
        <w:rPr>
          <w:sz w:val="28"/>
          <w:szCs w:val="28"/>
        </w:rPr>
        <w:t>Implicit biases are unconscious biases</w:t>
      </w:r>
      <w:r w:rsidR="002A2F57" w:rsidRPr="005B74CB">
        <w:rPr>
          <w:sz w:val="28"/>
          <w:szCs w:val="28"/>
        </w:rPr>
        <w:t>; they are much debated as to their status as a factor in objective decision-making</w:t>
      </w:r>
      <w:r w:rsidR="00122AE0">
        <w:rPr>
          <w:sz w:val="28"/>
          <w:szCs w:val="28"/>
        </w:rPr>
        <w:t xml:space="preserve">. </w:t>
      </w:r>
      <w:r w:rsidRPr="005B74CB">
        <w:rPr>
          <w:i/>
          <w:sz w:val="28"/>
          <w:szCs w:val="28"/>
        </w:rPr>
        <w:t>See</w:t>
      </w:r>
      <w:r w:rsidRPr="005B74CB">
        <w:rPr>
          <w:sz w:val="28"/>
          <w:szCs w:val="28"/>
        </w:rPr>
        <w:t xml:space="preserve"> </w:t>
      </w:r>
      <w:hyperlink r:id="rId1" w:history="1">
        <w:r w:rsidR="00542AF9" w:rsidRPr="005B74CB">
          <w:rPr>
            <w:rStyle w:val="Hyperlink"/>
            <w:sz w:val="28"/>
            <w:szCs w:val="28"/>
          </w:rPr>
          <w:t>https://www.chronicle.com/article/can-we-really-measure-implicit-bias-maybe-not/</w:t>
        </w:r>
      </w:hyperlink>
      <w:r w:rsidR="00542AF9" w:rsidRPr="005B74CB">
        <w:rPr>
          <w:sz w:val="28"/>
          <w:szCs w:val="28"/>
        </w:rPr>
        <w:t xml:space="preserve"> (Discussing IAT (implicit bias) testing and its lack of reliability and ability to predict bias-free juries).</w:t>
      </w:r>
      <w:r w:rsidR="00B813B6" w:rsidRPr="005B74CB">
        <w:rPr>
          <w:sz w:val="28"/>
          <w:szCs w:val="28"/>
        </w:rPr>
        <w:t xml:space="preserve"> </w:t>
      </w:r>
      <w:r w:rsidR="00542AF9" w:rsidRPr="005B74CB">
        <w:rPr>
          <w:i/>
          <w:sz w:val="28"/>
          <w:szCs w:val="28"/>
        </w:rPr>
        <w:t>See also</w:t>
      </w:r>
      <w:r w:rsidR="00542AF9" w:rsidRPr="005B74CB">
        <w:rPr>
          <w:sz w:val="28"/>
          <w:szCs w:val="28"/>
        </w:rPr>
        <w:t xml:space="preserve">, </w:t>
      </w:r>
      <w:r w:rsidR="001176EE" w:rsidRPr="005B74CB">
        <w:rPr>
          <w:sz w:val="28"/>
          <w:szCs w:val="28"/>
        </w:rPr>
        <w:t>Forsher, Lai, C., Axt, J., Ebersole, C., Herman, M., Devine, P., Nosek, B., “A Meta-Analysis of Procedures to Change Implicit Measures”, (July 1, 2017) Journal of Personality and Social Psychology, August 2019 (Finding “little evidence that changes implicit bias translated into changes in explicit bias and behavior . . .”</w:t>
      </w:r>
      <w:r w:rsidR="00F1628F" w:rsidRPr="005B74CB">
        <w:rPr>
          <w:sz w:val="28"/>
          <w:szCs w:val="28"/>
        </w:rPr>
        <w:t xml:space="preserve"> Attached hereto as Exhibit </w:t>
      </w:r>
      <w:r w:rsidR="00385C96">
        <w:rPr>
          <w:sz w:val="28"/>
          <w:szCs w:val="28"/>
        </w:rPr>
        <w:t>2</w:t>
      </w:r>
      <w:r w:rsidR="00122AE0">
        <w:rPr>
          <w:sz w:val="28"/>
          <w:szCs w:val="28"/>
        </w:rPr>
        <w:t xml:space="preserve">. </w:t>
      </w:r>
      <w:r w:rsidR="00F1628F" w:rsidRPr="005B74CB">
        <w:rPr>
          <w:i/>
          <w:sz w:val="28"/>
          <w:szCs w:val="28"/>
        </w:rPr>
        <w:t>See also</w:t>
      </w:r>
      <w:r w:rsidR="00F1628F" w:rsidRPr="005B74CB">
        <w:rPr>
          <w:sz w:val="28"/>
          <w:szCs w:val="28"/>
        </w:rPr>
        <w:t xml:space="preserve"> </w:t>
      </w:r>
      <w:r w:rsidR="00385C96">
        <w:rPr>
          <w:sz w:val="28"/>
          <w:szCs w:val="28"/>
        </w:rPr>
        <w:t>Lane, M. “What is Implicit Bias?” (March 1, 2017) California Senate Select Committee on Women and Inequality</w:t>
      </w:r>
      <w:r w:rsidR="00122AE0">
        <w:rPr>
          <w:sz w:val="28"/>
          <w:szCs w:val="28"/>
        </w:rPr>
        <w:t xml:space="preserve">. </w:t>
      </w:r>
      <w:hyperlink r:id="rId2" w:history="1">
        <w:r w:rsidR="00F1628F" w:rsidRPr="005B74CB">
          <w:rPr>
            <w:rStyle w:val="Hyperlink"/>
            <w:sz w:val="28"/>
            <w:szCs w:val="28"/>
          </w:rPr>
          <w:t>https://sor.senate.ca.gov/sites/sor.senate.ca.gov/files/Backgrounder%20on%20Implicit%20Bias%20for%20website.pdf</w:t>
        </w:r>
      </w:hyperlink>
      <w:r w:rsidR="00F1628F" w:rsidRPr="005B74CB">
        <w:rPr>
          <w:sz w:val="28"/>
          <w:szCs w:val="28"/>
        </w:rPr>
        <w:t xml:space="preserve"> (“There is much debate about the reliability and utility of the IAT in measuring implicit bias and predicting discriminatory behavior. Some social psychologists question the consistency of test results over time and point out that an individual taking the test multiple times will invariably get different results regarding the extent of their bias. In addition, critics of the IAT argue that it uses arbitrary metrics when scoring the test. They see the numeric scores assigned to different levels of bias as random.”)</w:t>
      </w:r>
      <w:r w:rsidR="00206C9F" w:rsidRPr="005B74CB">
        <w:rPr>
          <w:sz w:val="28"/>
          <w:szCs w:val="28"/>
        </w:rPr>
        <w:t xml:space="preserve"> </w:t>
      </w:r>
      <w:r w:rsidR="00206C9F" w:rsidRPr="005B74CB">
        <w:rPr>
          <w:i/>
          <w:sz w:val="28"/>
          <w:szCs w:val="28"/>
        </w:rPr>
        <w:t>See also</w:t>
      </w:r>
      <w:r w:rsidR="00206C9F" w:rsidRPr="005B74CB">
        <w:rPr>
          <w:sz w:val="28"/>
          <w:szCs w:val="28"/>
        </w:rPr>
        <w:t xml:space="preserve">, </w:t>
      </w:r>
      <w:r w:rsidR="00206C9F" w:rsidRPr="005B74CB">
        <w:rPr>
          <w:i/>
          <w:sz w:val="28"/>
          <w:szCs w:val="28"/>
        </w:rPr>
        <w:t>Yu v. Idaho State University</w:t>
      </w:r>
      <w:r w:rsidR="00206C9F" w:rsidRPr="005B74CB">
        <w:rPr>
          <w:sz w:val="28"/>
          <w:szCs w:val="28"/>
        </w:rPr>
        <w:t>,</w:t>
      </w:r>
      <w:r w:rsidR="00AC4ABF" w:rsidRPr="005B74CB">
        <w:rPr>
          <w:sz w:val="28"/>
          <w:szCs w:val="28"/>
        </w:rPr>
        <w:t xml:space="preserve"> No. 20-35582; D.C. No. 4:15-cv-00430-REB, slip op. at </w:t>
      </w:r>
      <w:r w:rsidR="00CE0518" w:rsidRPr="005B74CB">
        <w:rPr>
          <w:sz w:val="28"/>
          <w:szCs w:val="28"/>
        </w:rPr>
        <w:t>16-22 (</w:t>
      </w:r>
      <w:r w:rsidR="006912C2" w:rsidRPr="005B74CB">
        <w:rPr>
          <w:sz w:val="28"/>
          <w:szCs w:val="28"/>
        </w:rPr>
        <w:t>9</w:t>
      </w:r>
      <w:r w:rsidR="006912C2" w:rsidRPr="005B74CB">
        <w:rPr>
          <w:sz w:val="28"/>
          <w:szCs w:val="28"/>
          <w:vertAlign w:val="superscript"/>
        </w:rPr>
        <w:t>th</w:t>
      </w:r>
      <w:r w:rsidR="006912C2" w:rsidRPr="005B74CB">
        <w:rPr>
          <w:sz w:val="28"/>
          <w:szCs w:val="28"/>
        </w:rPr>
        <w:t xml:space="preserve"> Cir. Oct. 20, 2021), </w:t>
      </w:r>
      <w:hyperlink r:id="rId3" w:history="1">
        <w:r w:rsidR="00954A88" w:rsidRPr="00201953">
          <w:rPr>
            <w:rStyle w:val="Hyperlink"/>
            <w:sz w:val="28"/>
            <w:szCs w:val="28"/>
          </w:rPr>
          <w:t>https://cdn.ca9.uscourts.gov/datastore/opinions/2021/10/20/20-35582.pdf</w:t>
        </w:r>
      </w:hyperlink>
      <w:r w:rsidR="00954A88">
        <w:rPr>
          <w:sz w:val="28"/>
          <w:szCs w:val="28"/>
        </w:rPr>
        <w:t xml:space="preserve"> </w:t>
      </w:r>
      <w:r w:rsidR="001575B6">
        <w:rPr>
          <w:sz w:val="28"/>
          <w:szCs w:val="28"/>
        </w:rPr>
        <w:t>Miller,</w:t>
      </w:r>
      <w:r w:rsidR="006912C2" w:rsidRPr="005B74CB">
        <w:rPr>
          <w:sz w:val="28"/>
          <w:szCs w:val="28"/>
        </w:rPr>
        <w:t xml:space="preserve"> J., concurring)(noting that ‘implicit bias’ expert testimony, upon proper objection</w:t>
      </w:r>
      <w:r w:rsidR="001575B6" w:rsidRPr="005B74CB">
        <w:rPr>
          <w:sz w:val="28"/>
          <w:szCs w:val="28"/>
        </w:rPr>
        <w:t>, “</w:t>
      </w:r>
      <w:r w:rsidR="006912C2" w:rsidRPr="005B74CB">
        <w:rPr>
          <w:sz w:val="28"/>
          <w:szCs w:val="28"/>
        </w:rPr>
        <w:t>. . . .a court should not permit testimony of this kind to be presented to a jury.”)</w:t>
      </w:r>
    </w:p>
  </w:footnote>
  <w:footnote w:id="6">
    <w:p w14:paraId="7CF83623" w14:textId="2656FCEA" w:rsidR="0055519F" w:rsidRPr="005B74CB" w:rsidRDefault="0055519F" w:rsidP="0089215C">
      <w:pPr>
        <w:pStyle w:val="FootnoteText"/>
        <w:jc w:val="both"/>
        <w:rPr>
          <w:sz w:val="28"/>
          <w:szCs w:val="28"/>
        </w:rPr>
      </w:pPr>
      <w:r w:rsidRPr="005B74CB">
        <w:rPr>
          <w:rStyle w:val="FootnoteReference"/>
          <w:sz w:val="28"/>
          <w:szCs w:val="28"/>
        </w:rPr>
        <w:footnoteRef/>
      </w:r>
      <w:r w:rsidRPr="005B74CB">
        <w:rPr>
          <w:sz w:val="28"/>
          <w:szCs w:val="28"/>
        </w:rPr>
        <w:t xml:space="preserve"> </w:t>
      </w:r>
      <w:r w:rsidR="00F61E8C" w:rsidRPr="005B74CB">
        <w:rPr>
          <w:i/>
          <w:sz w:val="28"/>
          <w:szCs w:val="28"/>
        </w:rPr>
        <w:t>Supra</w:t>
      </w:r>
      <w:r w:rsidR="00F61E8C" w:rsidRPr="005B74CB">
        <w:rPr>
          <w:sz w:val="28"/>
          <w:szCs w:val="28"/>
        </w:rPr>
        <w:t>, Salerno</w:t>
      </w:r>
      <w:r w:rsidRPr="005B74CB">
        <w:rPr>
          <w:sz w:val="28"/>
          <w:szCs w:val="28"/>
        </w:rPr>
        <w:t xml:space="preserve"> at 3.</w:t>
      </w:r>
    </w:p>
  </w:footnote>
  <w:footnote w:id="7">
    <w:p w14:paraId="487B4025" w14:textId="1AF4415D" w:rsidR="0073505B" w:rsidRPr="005B74CB" w:rsidRDefault="0073505B">
      <w:pPr>
        <w:pStyle w:val="FootnoteText"/>
        <w:rPr>
          <w:sz w:val="28"/>
          <w:szCs w:val="28"/>
        </w:rPr>
      </w:pPr>
      <w:r w:rsidRPr="005B74CB">
        <w:rPr>
          <w:rStyle w:val="FootnoteReference"/>
          <w:sz w:val="28"/>
          <w:szCs w:val="28"/>
        </w:rPr>
        <w:footnoteRef/>
      </w:r>
      <w:r w:rsidRPr="005B74CB">
        <w:rPr>
          <w:sz w:val="28"/>
          <w:szCs w:val="28"/>
        </w:rPr>
        <w:t xml:space="preserve"> </w:t>
      </w:r>
      <w:r w:rsidRPr="005B74CB">
        <w:rPr>
          <w:i/>
          <w:sz w:val="28"/>
          <w:szCs w:val="28"/>
        </w:rPr>
        <w:t>Id</w:t>
      </w:r>
      <w:r w:rsidRPr="005B74CB">
        <w:rPr>
          <w:sz w:val="28"/>
          <w:szCs w:val="28"/>
        </w:rPr>
        <w:t>. at 4.</w:t>
      </w:r>
    </w:p>
  </w:footnote>
  <w:footnote w:id="8">
    <w:p w14:paraId="5C599A9D" w14:textId="0BFD7B07" w:rsidR="00294F08" w:rsidRPr="005B74CB" w:rsidRDefault="00294F08">
      <w:pPr>
        <w:pStyle w:val="FootnoteText"/>
        <w:rPr>
          <w:sz w:val="28"/>
          <w:szCs w:val="28"/>
        </w:rPr>
      </w:pPr>
      <w:r w:rsidRPr="005B74CB">
        <w:rPr>
          <w:rStyle w:val="FootnoteReference"/>
          <w:sz w:val="28"/>
          <w:szCs w:val="28"/>
        </w:rPr>
        <w:footnoteRef/>
      </w:r>
      <w:r w:rsidRPr="005B74CB">
        <w:rPr>
          <w:sz w:val="28"/>
          <w:szCs w:val="28"/>
        </w:rPr>
        <w:t xml:space="preserve"> </w:t>
      </w:r>
      <w:r w:rsidRPr="005B74CB">
        <w:rPr>
          <w:i/>
          <w:sz w:val="28"/>
          <w:szCs w:val="28"/>
        </w:rPr>
        <w:t>Id</w:t>
      </w:r>
      <w:r w:rsidRPr="005B74CB">
        <w:rPr>
          <w:sz w:val="28"/>
          <w:szCs w:val="28"/>
        </w:rPr>
        <w:t xml:space="preserve">. at 8. </w:t>
      </w:r>
    </w:p>
  </w:footnote>
  <w:footnote w:id="9">
    <w:p w14:paraId="7A3086A5" w14:textId="2EFD0948" w:rsidR="00334C2E" w:rsidRDefault="00334C2E">
      <w:pPr>
        <w:pStyle w:val="FootnoteText"/>
      </w:pPr>
      <w:r w:rsidRPr="005B74CB">
        <w:rPr>
          <w:rStyle w:val="FootnoteReference"/>
          <w:sz w:val="28"/>
          <w:szCs w:val="28"/>
        </w:rPr>
        <w:footnoteRef/>
      </w:r>
      <w:r w:rsidRPr="005B74CB">
        <w:rPr>
          <w:sz w:val="28"/>
          <w:szCs w:val="28"/>
        </w:rPr>
        <w:t xml:space="preserve"> </w:t>
      </w:r>
      <w:r w:rsidRPr="005B74CB">
        <w:rPr>
          <w:i/>
          <w:sz w:val="28"/>
          <w:szCs w:val="28"/>
        </w:rPr>
        <w:t>Id</w:t>
      </w:r>
      <w:r w:rsidRPr="005B74CB">
        <w:rPr>
          <w:sz w:val="28"/>
          <w:szCs w:val="28"/>
        </w:rPr>
        <w:t>. at 5.</w:t>
      </w:r>
    </w:p>
  </w:footnote>
  <w:footnote w:id="10">
    <w:p w14:paraId="7994A7B6" w14:textId="3C59CCAC" w:rsidR="0055519F" w:rsidRPr="005B74CB" w:rsidRDefault="0055519F">
      <w:pPr>
        <w:pStyle w:val="FootnoteText"/>
        <w:rPr>
          <w:sz w:val="28"/>
          <w:szCs w:val="28"/>
        </w:rPr>
      </w:pPr>
      <w:r w:rsidRPr="005B74CB">
        <w:rPr>
          <w:rStyle w:val="FootnoteReference"/>
          <w:sz w:val="28"/>
          <w:szCs w:val="28"/>
        </w:rPr>
        <w:footnoteRef/>
      </w:r>
      <w:r w:rsidRPr="005B74CB">
        <w:rPr>
          <w:sz w:val="28"/>
          <w:szCs w:val="28"/>
        </w:rPr>
        <w:t xml:space="preserve"> </w:t>
      </w:r>
      <w:r w:rsidRPr="005B74CB">
        <w:rPr>
          <w:i/>
          <w:sz w:val="28"/>
          <w:szCs w:val="28"/>
        </w:rPr>
        <w:t>Id</w:t>
      </w:r>
      <w:r w:rsidRPr="005B74CB">
        <w:rPr>
          <w:sz w:val="28"/>
          <w:szCs w:val="28"/>
        </w:rPr>
        <w:t xml:space="preserve">. </w:t>
      </w:r>
      <w:r w:rsidR="00334C2E" w:rsidRPr="005B74CB">
        <w:rPr>
          <w:sz w:val="28"/>
          <w:szCs w:val="28"/>
        </w:rPr>
        <w:t>at 3.</w:t>
      </w:r>
    </w:p>
  </w:footnote>
  <w:footnote w:id="11">
    <w:p w14:paraId="57800D55" w14:textId="281EB54E" w:rsidR="0073505B" w:rsidRPr="005B74CB" w:rsidRDefault="0073505B">
      <w:pPr>
        <w:pStyle w:val="FootnoteText"/>
        <w:rPr>
          <w:sz w:val="28"/>
          <w:szCs w:val="28"/>
        </w:rPr>
      </w:pPr>
      <w:r w:rsidRPr="005B74CB">
        <w:rPr>
          <w:rStyle w:val="FootnoteReference"/>
          <w:sz w:val="28"/>
          <w:szCs w:val="28"/>
        </w:rPr>
        <w:footnoteRef/>
      </w:r>
      <w:r w:rsidRPr="005B74CB">
        <w:rPr>
          <w:sz w:val="28"/>
          <w:szCs w:val="28"/>
        </w:rPr>
        <w:t xml:space="preserve"> </w:t>
      </w:r>
      <w:r w:rsidRPr="005B74CB">
        <w:rPr>
          <w:i/>
          <w:sz w:val="28"/>
          <w:szCs w:val="28"/>
        </w:rPr>
        <w:t>Id</w:t>
      </w:r>
      <w:r w:rsidRPr="005B74CB">
        <w:rPr>
          <w:sz w:val="28"/>
          <w:szCs w:val="28"/>
        </w:rPr>
        <w:t>.</w:t>
      </w:r>
    </w:p>
  </w:footnote>
  <w:footnote w:id="12">
    <w:p w14:paraId="13F9FECC" w14:textId="52B802A5" w:rsidR="00524D80" w:rsidRPr="007760E2" w:rsidRDefault="00524D80" w:rsidP="007760E2">
      <w:pPr>
        <w:pStyle w:val="FootnoteText"/>
      </w:pPr>
      <w:r w:rsidRPr="005B74CB">
        <w:rPr>
          <w:rStyle w:val="FootnoteReference"/>
          <w:sz w:val="28"/>
          <w:szCs w:val="28"/>
        </w:rPr>
        <w:footnoteRef/>
      </w:r>
      <w:r w:rsidRPr="005B74CB">
        <w:rPr>
          <w:sz w:val="28"/>
          <w:szCs w:val="28"/>
        </w:rPr>
        <w:t xml:space="preserve"> Task Force October</w:t>
      </w:r>
      <w:r w:rsidR="007760E2">
        <w:rPr>
          <w:sz w:val="28"/>
          <w:szCs w:val="28"/>
        </w:rPr>
        <w:t xml:space="preserve"> 4, 2021,</w:t>
      </w:r>
      <w:r w:rsidRPr="005B74CB">
        <w:rPr>
          <w:sz w:val="28"/>
          <w:szCs w:val="28"/>
        </w:rPr>
        <w:t xml:space="preserve"> Report at 43</w:t>
      </w:r>
      <w:r w:rsidR="007760E2">
        <w:rPr>
          <w:sz w:val="28"/>
          <w:szCs w:val="28"/>
        </w:rPr>
        <w:t xml:space="preserve">, </w:t>
      </w:r>
      <w:r w:rsidR="007760E2">
        <w:rPr>
          <w:i/>
          <w:iCs/>
          <w:sz w:val="28"/>
          <w:szCs w:val="28"/>
        </w:rPr>
        <w:t>available at</w:t>
      </w:r>
      <w:r w:rsidR="007760E2">
        <w:rPr>
          <w:sz w:val="28"/>
          <w:szCs w:val="28"/>
        </w:rPr>
        <w:t xml:space="preserve"> </w:t>
      </w:r>
      <w:hyperlink r:id="rId4" w:history="1">
        <w:r w:rsidR="007760E2" w:rsidRPr="003C3C79">
          <w:rPr>
            <w:rStyle w:val="Hyperlink"/>
            <w:sz w:val="28"/>
            <w:szCs w:val="28"/>
          </w:rPr>
          <w:t>https://www.azcourts.gov/Portals/74/Jury%20TF/Resources/Final%20Report%20Posting%20JTF%20100421.pdf?ver=2021-10-04-171251-953</w:t>
        </w:r>
      </w:hyperlink>
      <w:r w:rsidR="007760E2">
        <w:rPr>
          <w:sz w:val="28"/>
          <w:szCs w:val="28"/>
        </w:rPr>
        <w:t>.</w:t>
      </w:r>
    </w:p>
  </w:footnote>
  <w:footnote w:id="13">
    <w:p w14:paraId="6222E1F0" w14:textId="43296B89" w:rsidR="00524D80" w:rsidRPr="005B74CB" w:rsidRDefault="00524D80" w:rsidP="00524D80">
      <w:pPr>
        <w:pStyle w:val="FootnoteText"/>
        <w:jc w:val="both"/>
        <w:rPr>
          <w:sz w:val="28"/>
          <w:szCs w:val="28"/>
        </w:rPr>
      </w:pPr>
      <w:r w:rsidRPr="005B74CB">
        <w:rPr>
          <w:rStyle w:val="FootnoteReference"/>
          <w:sz w:val="28"/>
          <w:szCs w:val="28"/>
        </w:rPr>
        <w:footnoteRef/>
      </w:r>
      <w:r w:rsidR="003C3E9C" w:rsidRPr="005B74CB">
        <w:rPr>
          <w:sz w:val="28"/>
          <w:szCs w:val="28"/>
        </w:rPr>
        <w:t xml:space="preserve"> </w:t>
      </w:r>
      <w:r w:rsidR="00110459" w:rsidRPr="005B74CB">
        <w:rPr>
          <w:sz w:val="28"/>
          <w:szCs w:val="28"/>
        </w:rPr>
        <w:t xml:space="preserve">Statewide Jury Selection Workgroup Petition </w:t>
      </w:r>
      <w:r w:rsidRPr="005B74CB">
        <w:rPr>
          <w:sz w:val="28"/>
          <w:szCs w:val="28"/>
        </w:rPr>
        <w:t>at 10</w:t>
      </w:r>
      <w:r w:rsidR="00122AE0">
        <w:rPr>
          <w:sz w:val="28"/>
          <w:szCs w:val="28"/>
        </w:rPr>
        <w:t xml:space="preserve">. </w:t>
      </w:r>
      <w:r w:rsidRPr="005B74CB">
        <w:rPr>
          <w:sz w:val="28"/>
          <w:szCs w:val="28"/>
        </w:rPr>
        <w:t>“First, the recommendation creates a presumption that trial courts should use case-specific written questionnaires: ‘[u]nless the court orders otherwise, the court should require prospective jurors to complete a case-specific written questionnaire . . .’  Of note, the proposed language is permissibly written, stating that trial courts ‘should require’ case-specific questionnaires.”</w:t>
      </w:r>
    </w:p>
  </w:footnote>
  <w:footnote w:id="14">
    <w:p w14:paraId="14FDF2C1" w14:textId="679CF459" w:rsidR="00486A46" w:rsidRDefault="00486A46">
      <w:pPr>
        <w:pStyle w:val="FootnoteText"/>
      </w:pPr>
      <w:r w:rsidRPr="003C0BB9">
        <w:rPr>
          <w:rStyle w:val="FootnoteReference"/>
          <w:sz w:val="28"/>
          <w:szCs w:val="28"/>
        </w:rPr>
        <w:footnoteRef/>
      </w:r>
      <w:r>
        <w:t xml:space="preserve"> </w:t>
      </w:r>
      <w:r w:rsidR="000F5F8E">
        <w:rPr>
          <w:sz w:val="28"/>
          <w:szCs w:val="28"/>
        </w:rPr>
        <w:t>I</w:t>
      </w:r>
      <w:r w:rsidRPr="00C04964">
        <w:rPr>
          <w:sz w:val="28"/>
          <w:szCs w:val="28"/>
        </w:rPr>
        <w:t xml:space="preserve">dentifying information provided to counsel before trial should be limited to avoid private investigators' potential invasion of juror privacy before in-person </w:t>
      </w:r>
      <w:r w:rsidRPr="00FF3780">
        <w:rPr>
          <w:i/>
          <w:sz w:val="28"/>
          <w:szCs w:val="28"/>
        </w:rPr>
        <w:t>voir dire</w:t>
      </w:r>
      <w:r w:rsidRPr="00C04964">
        <w:rPr>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7C3C"/>
    <w:multiLevelType w:val="hybridMultilevel"/>
    <w:tmpl w:val="6E423DE4"/>
    <w:lvl w:ilvl="0" w:tplc="E65E3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D730B"/>
    <w:multiLevelType w:val="hybridMultilevel"/>
    <w:tmpl w:val="5314AE54"/>
    <w:lvl w:ilvl="0" w:tplc="4BE888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E15C2"/>
    <w:multiLevelType w:val="hybridMultilevel"/>
    <w:tmpl w:val="CB389E36"/>
    <w:lvl w:ilvl="0" w:tplc="F7EA8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281C1A"/>
    <w:multiLevelType w:val="hybridMultilevel"/>
    <w:tmpl w:val="C4241FF8"/>
    <w:lvl w:ilvl="0" w:tplc="0B088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411DB0"/>
    <w:multiLevelType w:val="hybridMultilevel"/>
    <w:tmpl w:val="74E846DE"/>
    <w:lvl w:ilvl="0" w:tplc="04AA49D2">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317D8C"/>
    <w:multiLevelType w:val="hybridMultilevel"/>
    <w:tmpl w:val="938CFBA4"/>
    <w:lvl w:ilvl="0" w:tplc="C3E0F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570056"/>
    <w:multiLevelType w:val="hybridMultilevel"/>
    <w:tmpl w:val="D25A5E6E"/>
    <w:lvl w:ilvl="0" w:tplc="AA30A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B2"/>
    <w:rsid w:val="000200D0"/>
    <w:rsid w:val="000256EA"/>
    <w:rsid w:val="00032871"/>
    <w:rsid w:val="00035F14"/>
    <w:rsid w:val="00052188"/>
    <w:rsid w:val="00052A49"/>
    <w:rsid w:val="00070BBF"/>
    <w:rsid w:val="0007159C"/>
    <w:rsid w:val="00071F81"/>
    <w:rsid w:val="0007325A"/>
    <w:rsid w:val="00074E6B"/>
    <w:rsid w:val="0007606F"/>
    <w:rsid w:val="000778A1"/>
    <w:rsid w:val="00083C2F"/>
    <w:rsid w:val="000858F0"/>
    <w:rsid w:val="00091C00"/>
    <w:rsid w:val="0009308F"/>
    <w:rsid w:val="000933D3"/>
    <w:rsid w:val="00093D0A"/>
    <w:rsid w:val="000A15C9"/>
    <w:rsid w:val="000A235D"/>
    <w:rsid w:val="000A4BA2"/>
    <w:rsid w:val="000B574E"/>
    <w:rsid w:val="000B6850"/>
    <w:rsid w:val="000C4460"/>
    <w:rsid w:val="000D1AAA"/>
    <w:rsid w:val="000E0558"/>
    <w:rsid w:val="000E307A"/>
    <w:rsid w:val="000E3D10"/>
    <w:rsid w:val="000F5F8E"/>
    <w:rsid w:val="00101097"/>
    <w:rsid w:val="00110459"/>
    <w:rsid w:val="001111CB"/>
    <w:rsid w:val="00113DC8"/>
    <w:rsid w:val="001176EE"/>
    <w:rsid w:val="00122AE0"/>
    <w:rsid w:val="001515A3"/>
    <w:rsid w:val="00152262"/>
    <w:rsid w:val="001575B6"/>
    <w:rsid w:val="001600EE"/>
    <w:rsid w:val="0016354A"/>
    <w:rsid w:val="001638A8"/>
    <w:rsid w:val="00170A1C"/>
    <w:rsid w:val="0017674D"/>
    <w:rsid w:val="00187301"/>
    <w:rsid w:val="001907B7"/>
    <w:rsid w:val="00193D7E"/>
    <w:rsid w:val="001970AF"/>
    <w:rsid w:val="001B3014"/>
    <w:rsid w:val="001C14C2"/>
    <w:rsid w:val="001C63B2"/>
    <w:rsid w:val="001C7E21"/>
    <w:rsid w:val="001D1736"/>
    <w:rsid w:val="001D2631"/>
    <w:rsid w:val="001D7398"/>
    <w:rsid w:val="001E554D"/>
    <w:rsid w:val="001E6B55"/>
    <w:rsid w:val="001F0CD9"/>
    <w:rsid w:val="00206C9F"/>
    <w:rsid w:val="002070F7"/>
    <w:rsid w:val="00217201"/>
    <w:rsid w:val="00217B63"/>
    <w:rsid w:val="00220FF9"/>
    <w:rsid w:val="0022182D"/>
    <w:rsid w:val="00245D6C"/>
    <w:rsid w:val="00246496"/>
    <w:rsid w:val="00251E6C"/>
    <w:rsid w:val="002568FF"/>
    <w:rsid w:val="00257F46"/>
    <w:rsid w:val="002613DE"/>
    <w:rsid w:val="00266EAB"/>
    <w:rsid w:val="00273294"/>
    <w:rsid w:val="00273CD7"/>
    <w:rsid w:val="00280561"/>
    <w:rsid w:val="00292A06"/>
    <w:rsid w:val="00294F08"/>
    <w:rsid w:val="002A2F57"/>
    <w:rsid w:val="002A55CD"/>
    <w:rsid w:val="002A58E6"/>
    <w:rsid w:val="002A6E32"/>
    <w:rsid w:val="002C56B4"/>
    <w:rsid w:val="002E05BC"/>
    <w:rsid w:val="002E15A3"/>
    <w:rsid w:val="002E1968"/>
    <w:rsid w:val="002E44A7"/>
    <w:rsid w:val="002F07EF"/>
    <w:rsid w:val="002F528F"/>
    <w:rsid w:val="002F6A96"/>
    <w:rsid w:val="00300582"/>
    <w:rsid w:val="003100AF"/>
    <w:rsid w:val="00311E4C"/>
    <w:rsid w:val="003166F4"/>
    <w:rsid w:val="003179F3"/>
    <w:rsid w:val="003230E4"/>
    <w:rsid w:val="00327965"/>
    <w:rsid w:val="00334C2E"/>
    <w:rsid w:val="00335AA4"/>
    <w:rsid w:val="0034215B"/>
    <w:rsid w:val="00343533"/>
    <w:rsid w:val="00350189"/>
    <w:rsid w:val="0035326C"/>
    <w:rsid w:val="00355ECE"/>
    <w:rsid w:val="00360D3E"/>
    <w:rsid w:val="003630B7"/>
    <w:rsid w:val="00375AC1"/>
    <w:rsid w:val="00381ECC"/>
    <w:rsid w:val="00385C96"/>
    <w:rsid w:val="003A4F40"/>
    <w:rsid w:val="003A5B34"/>
    <w:rsid w:val="003C0449"/>
    <w:rsid w:val="003C0BB9"/>
    <w:rsid w:val="003C3E9C"/>
    <w:rsid w:val="003E02D1"/>
    <w:rsid w:val="003E0402"/>
    <w:rsid w:val="003E1B8B"/>
    <w:rsid w:val="003E5D33"/>
    <w:rsid w:val="003F140B"/>
    <w:rsid w:val="003F3BF5"/>
    <w:rsid w:val="004110AF"/>
    <w:rsid w:val="00416451"/>
    <w:rsid w:val="0042003B"/>
    <w:rsid w:val="00433CB7"/>
    <w:rsid w:val="0045169E"/>
    <w:rsid w:val="0045228D"/>
    <w:rsid w:val="004539D2"/>
    <w:rsid w:val="00453EC2"/>
    <w:rsid w:val="00457543"/>
    <w:rsid w:val="004621B1"/>
    <w:rsid w:val="004647FB"/>
    <w:rsid w:val="00465778"/>
    <w:rsid w:val="004672AB"/>
    <w:rsid w:val="004764AA"/>
    <w:rsid w:val="00483B0E"/>
    <w:rsid w:val="00485184"/>
    <w:rsid w:val="0048566C"/>
    <w:rsid w:val="00486A46"/>
    <w:rsid w:val="00487C79"/>
    <w:rsid w:val="00487F8C"/>
    <w:rsid w:val="004927F8"/>
    <w:rsid w:val="0049701A"/>
    <w:rsid w:val="004A210C"/>
    <w:rsid w:val="004B03D4"/>
    <w:rsid w:val="004B4790"/>
    <w:rsid w:val="004B5067"/>
    <w:rsid w:val="004C015B"/>
    <w:rsid w:val="004C2646"/>
    <w:rsid w:val="004C3099"/>
    <w:rsid w:val="004E5437"/>
    <w:rsid w:val="004F131A"/>
    <w:rsid w:val="004F2D57"/>
    <w:rsid w:val="00501E4E"/>
    <w:rsid w:val="005025E0"/>
    <w:rsid w:val="00502D01"/>
    <w:rsid w:val="00524D80"/>
    <w:rsid w:val="00536D51"/>
    <w:rsid w:val="0054291D"/>
    <w:rsid w:val="00542AF9"/>
    <w:rsid w:val="00553874"/>
    <w:rsid w:val="0055519F"/>
    <w:rsid w:val="00561CAB"/>
    <w:rsid w:val="005634F9"/>
    <w:rsid w:val="00572A35"/>
    <w:rsid w:val="00572D13"/>
    <w:rsid w:val="005851E2"/>
    <w:rsid w:val="00585552"/>
    <w:rsid w:val="00586AC2"/>
    <w:rsid w:val="005912C3"/>
    <w:rsid w:val="005919A4"/>
    <w:rsid w:val="00591BDB"/>
    <w:rsid w:val="00595A22"/>
    <w:rsid w:val="0059763D"/>
    <w:rsid w:val="005A6112"/>
    <w:rsid w:val="005B0085"/>
    <w:rsid w:val="005B1934"/>
    <w:rsid w:val="005B680C"/>
    <w:rsid w:val="005B74CB"/>
    <w:rsid w:val="005C736F"/>
    <w:rsid w:val="005D2D82"/>
    <w:rsid w:val="005D6CB7"/>
    <w:rsid w:val="005E333C"/>
    <w:rsid w:val="005E4304"/>
    <w:rsid w:val="005F010F"/>
    <w:rsid w:val="005F3A73"/>
    <w:rsid w:val="005F4ABD"/>
    <w:rsid w:val="00602EAC"/>
    <w:rsid w:val="00604A97"/>
    <w:rsid w:val="00605525"/>
    <w:rsid w:val="0061392F"/>
    <w:rsid w:val="00615804"/>
    <w:rsid w:val="00631C37"/>
    <w:rsid w:val="00635C08"/>
    <w:rsid w:val="00654D8B"/>
    <w:rsid w:val="00663F31"/>
    <w:rsid w:val="006648E3"/>
    <w:rsid w:val="006765D4"/>
    <w:rsid w:val="00676994"/>
    <w:rsid w:val="00685587"/>
    <w:rsid w:val="006879D2"/>
    <w:rsid w:val="006912C2"/>
    <w:rsid w:val="00697833"/>
    <w:rsid w:val="006A5A34"/>
    <w:rsid w:val="006B31B0"/>
    <w:rsid w:val="006B68E9"/>
    <w:rsid w:val="006C435E"/>
    <w:rsid w:val="006C4C84"/>
    <w:rsid w:val="006D2289"/>
    <w:rsid w:val="006E1DCF"/>
    <w:rsid w:val="006E3CA3"/>
    <w:rsid w:val="006F0EB7"/>
    <w:rsid w:val="006F1962"/>
    <w:rsid w:val="006F227D"/>
    <w:rsid w:val="0071285F"/>
    <w:rsid w:val="0073505B"/>
    <w:rsid w:val="00736974"/>
    <w:rsid w:val="00737D31"/>
    <w:rsid w:val="00744321"/>
    <w:rsid w:val="0074555C"/>
    <w:rsid w:val="007577E1"/>
    <w:rsid w:val="0076082A"/>
    <w:rsid w:val="0076104E"/>
    <w:rsid w:val="007654A3"/>
    <w:rsid w:val="00766590"/>
    <w:rsid w:val="007760E2"/>
    <w:rsid w:val="00776603"/>
    <w:rsid w:val="007875AF"/>
    <w:rsid w:val="007918B2"/>
    <w:rsid w:val="00797A7E"/>
    <w:rsid w:val="007A199C"/>
    <w:rsid w:val="007A19DA"/>
    <w:rsid w:val="007A4608"/>
    <w:rsid w:val="007B1923"/>
    <w:rsid w:val="007C0061"/>
    <w:rsid w:val="007D2ED8"/>
    <w:rsid w:val="007E0F54"/>
    <w:rsid w:val="007F010E"/>
    <w:rsid w:val="008075FF"/>
    <w:rsid w:val="00811770"/>
    <w:rsid w:val="00813ACD"/>
    <w:rsid w:val="00825A83"/>
    <w:rsid w:val="00826DC7"/>
    <w:rsid w:val="0083122B"/>
    <w:rsid w:val="00860ACC"/>
    <w:rsid w:val="00871808"/>
    <w:rsid w:val="0087640A"/>
    <w:rsid w:val="00881BF3"/>
    <w:rsid w:val="00886CD0"/>
    <w:rsid w:val="0089215C"/>
    <w:rsid w:val="008928FD"/>
    <w:rsid w:val="00894210"/>
    <w:rsid w:val="00895A11"/>
    <w:rsid w:val="008A1951"/>
    <w:rsid w:val="008C32BB"/>
    <w:rsid w:val="008E5FFF"/>
    <w:rsid w:val="008E6061"/>
    <w:rsid w:val="008E69F0"/>
    <w:rsid w:val="008F3471"/>
    <w:rsid w:val="008F3631"/>
    <w:rsid w:val="008F42CB"/>
    <w:rsid w:val="0090331A"/>
    <w:rsid w:val="0090540B"/>
    <w:rsid w:val="00912CFB"/>
    <w:rsid w:val="00912E44"/>
    <w:rsid w:val="0091449E"/>
    <w:rsid w:val="00916A77"/>
    <w:rsid w:val="00930014"/>
    <w:rsid w:val="009315E3"/>
    <w:rsid w:val="00936C75"/>
    <w:rsid w:val="00942411"/>
    <w:rsid w:val="00942E79"/>
    <w:rsid w:val="00950EF4"/>
    <w:rsid w:val="00954A88"/>
    <w:rsid w:val="009602B3"/>
    <w:rsid w:val="00960CF5"/>
    <w:rsid w:val="00965BE1"/>
    <w:rsid w:val="00967A58"/>
    <w:rsid w:val="00970CAF"/>
    <w:rsid w:val="0098201F"/>
    <w:rsid w:val="009825DA"/>
    <w:rsid w:val="00984613"/>
    <w:rsid w:val="0098683D"/>
    <w:rsid w:val="00990F51"/>
    <w:rsid w:val="0099686B"/>
    <w:rsid w:val="009971E6"/>
    <w:rsid w:val="009A2377"/>
    <w:rsid w:val="009B064B"/>
    <w:rsid w:val="009B08C7"/>
    <w:rsid w:val="009B4525"/>
    <w:rsid w:val="009B50F8"/>
    <w:rsid w:val="009B6FAB"/>
    <w:rsid w:val="009C6B9C"/>
    <w:rsid w:val="009D1090"/>
    <w:rsid w:val="009D349D"/>
    <w:rsid w:val="009E1230"/>
    <w:rsid w:val="009E30ED"/>
    <w:rsid w:val="009E63ED"/>
    <w:rsid w:val="009F1019"/>
    <w:rsid w:val="009F16E0"/>
    <w:rsid w:val="00A00A05"/>
    <w:rsid w:val="00A069DD"/>
    <w:rsid w:val="00A27AB6"/>
    <w:rsid w:val="00A33160"/>
    <w:rsid w:val="00A370F1"/>
    <w:rsid w:val="00A44131"/>
    <w:rsid w:val="00A5114B"/>
    <w:rsid w:val="00A6771B"/>
    <w:rsid w:val="00A9047B"/>
    <w:rsid w:val="00A905CC"/>
    <w:rsid w:val="00A96B23"/>
    <w:rsid w:val="00AA2C34"/>
    <w:rsid w:val="00AA2CD7"/>
    <w:rsid w:val="00AA6C8D"/>
    <w:rsid w:val="00AC4ABF"/>
    <w:rsid w:val="00AC675A"/>
    <w:rsid w:val="00AC6D9E"/>
    <w:rsid w:val="00AD37E5"/>
    <w:rsid w:val="00AE1C16"/>
    <w:rsid w:val="00AE2E2C"/>
    <w:rsid w:val="00AE366C"/>
    <w:rsid w:val="00AF4198"/>
    <w:rsid w:val="00AF5EAD"/>
    <w:rsid w:val="00B010A2"/>
    <w:rsid w:val="00B04E28"/>
    <w:rsid w:val="00B05881"/>
    <w:rsid w:val="00B2430C"/>
    <w:rsid w:val="00B331AE"/>
    <w:rsid w:val="00B37777"/>
    <w:rsid w:val="00B411C7"/>
    <w:rsid w:val="00B41574"/>
    <w:rsid w:val="00B46A56"/>
    <w:rsid w:val="00B54842"/>
    <w:rsid w:val="00B56B41"/>
    <w:rsid w:val="00B64B33"/>
    <w:rsid w:val="00B66FB3"/>
    <w:rsid w:val="00B70216"/>
    <w:rsid w:val="00B71DA7"/>
    <w:rsid w:val="00B734DD"/>
    <w:rsid w:val="00B813B6"/>
    <w:rsid w:val="00B82903"/>
    <w:rsid w:val="00B928F9"/>
    <w:rsid w:val="00B93C23"/>
    <w:rsid w:val="00B95E36"/>
    <w:rsid w:val="00BA46EA"/>
    <w:rsid w:val="00BC1473"/>
    <w:rsid w:val="00BD15C0"/>
    <w:rsid w:val="00BD402B"/>
    <w:rsid w:val="00BF1CA0"/>
    <w:rsid w:val="00BF1E56"/>
    <w:rsid w:val="00C04964"/>
    <w:rsid w:val="00C16FFF"/>
    <w:rsid w:val="00C23541"/>
    <w:rsid w:val="00C24172"/>
    <w:rsid w:val="00C247E2"/>
    <w:rsid w:val="00C31009"/>
    <w:rsid w:val="00C4373A"/>
    <w:rsid w:val="00C51BC9"/>
    <w:rsid w:val="00C51FA8"/>
    <w:rsid w:val="00C54C3D"/>
    <w:rsid w:val="00C55431"/>
    <w:rsid w:val="00C5671F"/>
    <w:rsid w:val="00C57010"/>
    <w:rsid w:val="00C6091A"/>
    <w:rsid w:val="00C66FBB"/>
    <w:rsid w:val="00C83A83"/>
    <w:rsid w:val="00C862D4"/>
    <w:rsid w:val="00C9428C"/>
    <w:rsid w:val="00C975D8"/>
    <w:rsid w:val="00C979E6"/>
    <w:rsid w:val="00CB517D"/>
    <w:rsid w:val="00CB6929"/>
    <w:rsid w:val="00CC3685"/>
    <w:rsid w:val="00CC6062"/>
    <w:rsid w:val="00CD6036"/>
    <w:rsid w:val="00CE0518"/>
    <w:rsid w:val="00CE1E01"/>
    <w:rsid w:val="00CF7070"/>
    <w:rsid w:val="00D0039C"/>
    <w:rsid w:val="00D005F8"/>
    <w:rsid w:val="00D00851"/>
    <w:rsid w:val="00D06A5D"/>
    <w:rsid w:val="00D12339"/>
    <w:rsid w:val="00D14EE0"/>
    <w:rsid w:val="00D20A4A"/>
    <w:rsid w:val="00D252F0"/>
    <w:rsid w:val="00D47709"/>
    <w:rsid w:val="00D5311F"/>
    <w:rsid w:val="00D53A89"/>
    <w:rsid w:val="00D66DF6"/>
    <w:rsid w:val="00D729BE"/>
    <w:rsid w:val="00D72C27"/>
    <w:rsid w:val="00D73E3D"/>
    <w:rsid w:val="00D74F8E"/>
    <w:rsid w:val="00D95EE0"/>
    <w:rsid w:val="00DC3457"/>
    <w:rsid w:val="00DC7254"/>
    <w:rsid w:val="00DD20C1"/>
    <w:rsid w:val="00DD25D7"/>
    <w:rsid w:val="00DD328D"/>
    <w:rsid w:val="00DE7A43"/>
    <w:rsid w:val="00E058E1"/>
    <w:rsid w:val="00E06A25"/>
    <w:rsid w:val="00E13F09"/>
    <w:rsid w:val="00E31561"/>
    <w:rsid w:val="00E32F57"/>
    <w:rsid w:val="00E334AF"/>
    <w:rsid w:val="00E36DC4"/>
    <w:rsid w:val="00E37D17"/>
    <w:rsid w:val="00E40080"/>
    <w:rsid w:val="00E41350"/>
    <w:rsid w:val="00E43F8F"/>
    <w:rsid w:val="00E5483D"/>
    <w:rsid w:val="00E55E4A"/>
    <w:rsid w:val="00E842BB"/>
    <w:rsid w:val="00E847DA"/>
    <w:rsid w:val="00E84ACD"/>
    <w:rsid w:val="00E907D5"/>
    <w:rsid w:val="00E978FB"/>
    <w:rsid w:val="00EA1350"/>
    <w:rsid w:val="00EA27D2"/>
    <w:rsid w:val="00EA7FA0"/>
    <w:rsid w:val="00EA7FD6"/>
    <w:rsid w:val="00EB3085"/>
    <w:rsid w:val="00EB7438"/>
    <w:rsid w:val="00EC4F2C"/>
    <w:rsid w:val="00EC5079"/>
    <w:rsid w:val="00EF531D"/>
    <w:rsid w:val="00EF630A"/>
    <w:rsid w:val="00F146DE"/>
    <w:rsid w:val="00F1628F"/>
    <w:rsid w:val="00F25949"/>
    <w:rsid w:val="00F34B6D"/>
    <w:rsid w:val="00F54E38"/>
    <w:rsid w:val="00F603DA"/>
    <w:rsid w:val="00F61E8C"/>
    <w:rsid w:val="00F64F16"/>
    <w:rsid w:val="00F70C59"/>
    <w:rsid w:val="00F731BD"/>
    <w:rsid w:val="00FA06E6"/>
    <w:rsid w:val="00FA4F69"/>
    <w:rsid w:val="00FA7C4D"/>
    <w:rsid w:val="00FB1D47"/>
    <w:rsid w:val="00FB4283"/>
    <w:rsid w:val="00FC534B"/>
    <w:rsid w:val="00FD235C"/>
    <w:rsid w:val="00FD43E5"/>
    <w:rsid w:val="00FD458A"/>
    <w:rsid w:val="00FE30D2"/>
    <w:rsid w:val="00FE6BDC"/>
    <w:rsid w:val="00FF3395"/>
    <w:rsid w:val="00FF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E985"/>
  <w15:docId w15:val="{07048AB9-B41C-4B18-8922-CDB97246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3B2"/>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C63B2"/>
    <w:pPr>
      <w:widowControl w:val="0"/>
      <w:spacing w:line="240" w:lineRule="exact"/>
    </w:pPr>
    <w:rPr>
      <w:bCs/>
      <w:sz w:val="26"/>
    </w:rPr>
  </w:style>
  <w:style w:type="paragraph" w:customStyle="1" w:styleId="Court">
    <w:name w:val="Court"/>
    <w:basedOn w:val="Normal"/>
    <w:rsid w:val="001C63B2"/>
    <w:pPr>
      <w:widowControl w:val="0"/>
      <w:spacing w:after="240" w:line="480" w:lineRule="exact"/>
      <w:jc w:val="center"/>
    </w:pPr>
    <w:rPr>
      <w:caps/>
      <w:sz w:val="26"/>
      <w:szCs w:val="26"/>
    </w:rPr>
  </w:style>
  <w:style w:type="paragraph" w:customStyle="1" w:styleId="DocumentTitle">
    <w:name w:val="Document Title"/>
    <w:basedOn w:val="Normal"/>
    <w:rsid w:val="001C63B2"/>
    <w:pPr>
      <w:widowControl w:val="0"/>
      <w:tabs>
        <w:tab w:val="left" w:pos="1238"/>
      </w:tabs>
      <w:spacing w:line="240" w:lineRule="exact"/>
      <w:ind w:left="259"/>
    </w:pPr>
    <w:rPr>
      <w:sz w:val="26"/>
      <w:szCs w:val="24"/>
    </w:rPr>
  </w:style>
  <w:style w:type="paragraph" w:customStyle="1" w:styleId="FirmInformation">
    <w:name w:val="Firm Information"/>
    <w:basedOn w:val="Normal"/>
    <w:rsid w:val="001C63B2"/>
    <w:pPr>
      <w:widowControl w:val="0"/>
      <w:spacing w:line="240" w:lineRule="exact"/>
      <w:ind w:right="144"/>
    </w:pPr>
    <w:rPr>
      <w:sz w:val="26"/>
    </w:rPr>
  </w:style>
  <w:style w:type="paragraph" w:customStyle="1" w:styleId="Body">
    <w:name w:val="Body"/>
    <w:basedOn w:val="Normal"/>
    <w:rsid w:val="001C63B2"/>
    <w:pPr>
      <w:spacing w:line="480" w:lineRule="exact"/>
      <w:ind w:firstLine="1440"/>
    </w:pPr>
    <w:rPr>
      <w:sz w:val="26"/>
    </w:rPr>
  </w:style>
  <w:style w:type="character" w:styleId="Hyperlink">
    <w:name w:val="Hyperlink"/>
    <w:basedOn w:val="DefaultParagraphFont"/>
    <w:uiPriority w:val="99"/>
    <w:rsid w:val="001C63B2"/>
    <w:rPr>
      <w:color w:val="0563C1" w:themeColor="hyperlink"/>
      <w:u w:val="single"/>
    </w:rPr>
  </w:style>
  <w:style w:type="paragraph" w:customStyle="1" w:styleId="PleadingSignature">
    <w:name w:val="Pleading Signature"/>
    <w:basedOn w:val="Normal"/>
    <w:rsid w:val="001C63B2"/>
    <w:pPr>
      <w:keepNext/>
      <w:keepLines/>
      <w:widowControl w:val="0"/>
      <w:spacing w:line="240" w:lineRule="exact"/>
    </w:pPr>
    <w:rPr>
      <w:sz w:val="26"/>
    </w:rPr>
  </w:style>
  <w:style w:type="paragraph" w:styleId="FootnoteText">
    <w:name w:val="footnote text"/>
    <w:basedOn w:val="Normal"/>
    <w:link w:val="FootnoteTextChar"/>
    <w:uiPriority w:val="99"/>
    <w:unhideWhenUsed/>
    <w:rsid w:val="001C63B2"/>
    <w:pPr>
      <w:spacing w:line="240" w:lineRule="auto"/>
    </w:pPr>
  </w:style>
  <w:style w:type="character" w:customStyle="1" w:styleId="FootnoteTextChar">
    <w:name w:val="Footnote Text Char"/>
    <w:basedOn w:val="DefaultParagraphFont"/>
    <w:link w:val="FootnoteText"/>
    <w:uiPriority w:val="99"/>
    <w:rsid w:val="001C63B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C63B2"/>
    <w:rPr>
      <w:vertAlign w:val="superscript"/>
    </w:rPr>
  </w:style>
  <w:style w:type="paragraph" w:styleId="BodyTextIndent">
    <w:name w:val="Body Text Indent"/>
    <w:basedOn w:val="Normal"/>
    <w:link w:val="BodyTextIndentChar"/>
    <w:uiPriority w:val="99"/>
    <w:unhideWhenUsed/>
    <w:rsid w:val="001C63B2"/>
    <w:pPr>
      <w:spacing w:after="120"/>
      <w:ind w:left="360"/>
    </w:pPr>
  </w:style>
  <w:style w:type="character" w:customStyle="1" w:styleId="BodyTextIndentChar">
    <w:name w:val="Body Text Indent Char"/>
    <w:basedOn w:val="DefaultParagraphFont"/>
    <w:link w:val="BodyTextIndent"/>
    <w:uiPriority w:val="99"/>
    <w:rsid w:val="001C63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6603"/>
    <w:pPr>
      <w:tabs>
        <w:tab w:val="center" w:pos="4680"/>
        <w:tab w:val="right" w:pos="9360"/>
      </w:tabs>
      <w:spacing w:line="240" w:lineRule="auto"/>
    </w:pPr>
  </w:style>
  <w:style w:type="character" w:customStyle="1" w:styleId="HeaderChar">
    <w:name w:val="Header Char"/>
    <w:basedOn w:val="DefaultParagraphFont"/>
    <w:link w:val="Header"/>
    <w:uiPriority w:val="99"/>
    <w:rsid w:val="007766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6603"/>
    <w:pPr>
      <w:tabs>
        <w:tab w:val="center" w:pos="4680"/>
        <w:tab w:val="right" w:pos="9360"/>
      </w:tabs>
      <w:spacing w:line="240" w:lineRule="auto"/>
    </w:pPr>
  </w:style>
  <w:style w:type="character" w:customStyle="1" w:styleId="FooterChar">
    <w:name w:val="Footer Char"/>
    <w:basedOn w:val="DefaultParagraphFont"/>
    <w:link w:val="Footer"/>
    <w:uiPriority w:val="99"/>
    <w:rsid w:val="00776603"/>
    <w:rPr>
      <w:rFonts w:ascii="Times New Roman" w:eastAsia="Times New Roman" w:hAnsi="Times New Roman" w:cs="Times New Roman"/>
      <w:sz w:val="20"/>
      <w:szCs w:val="20"/>
    </w:rPr>
  </w:style>
  <w:style w:type="paragraph" w:styleId="ListParagraph">
    <w:name w:val="List Paragraph"/>
    <w:basedOn w:val="Normal"/>
    <w:uiPriority w:val="34"/>
    <w:qFormat/>
    <w:rsid w:val="00524D80"/>
    <w:pPr>
      <w:ind w:left="720"/>
      <w:contextualSpacing/>
    </w:pPr>
  </w:style>
  <w:style w:type="character" w:styleId="CommentReference">
    <w:name w:val="annotation reference"/>
    <w:basedOn w:val="DefaultParagraphFont"/>
    <w:uiPriority w:val="99"/>
    <w:semiHidden/>
    <w:unhideWhenUsed/>
    <w:rsid w:val="002568FF"/>
    <w:rPr>
      <w:sz w:val="16"/>
      <w:szCs w:val="16"/>
    </w:rPr>
  </w:style>
  <w:style w:type="paragraph" w:styleId="CommentText">
    <w:name w:val="annotation text"/>
    <w:basedOn w:val="Normal"/>
    <w:link w:val="CommentTextChar"/>
    <w:uiPriority w:val="99"/>
    <w:semiHidden/>
    <w:unhideWhenUsed/>
    <w:rsid w:val="002568FF"/>
    <w:pPr>
      <w:spacing w:line="240" w:lineRule="auto"/>
    </w:pPr>
  </w:style>
  <w:style w:type="character" w:customStyle="1" w:styleId="CommentTextChar">
    <w:name w:val="Comment Text Char"/>
    <w:basedOn w:val="DefaultParagraphFont"/>
    <w:link w:val="CommentText"/>
    <w:uiPriority w:val="99"/>
    <w:semiHidden/>
    <w:rsid w:val="002568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8FF"/>
    <w:rPr>
      <w:b/>
      <w:bCs/>
    </w:rPr>
  </w:style>
  <w:style w:type="character" w:customStyle="1" w:styleId="CommentSubjectChar">
    <w:name w:val="Comment Subject Char"/>
    <w:basedOn w:val="CommentTextChar"/>
    <w:link w:val="CommentSubject"/>
    <w:uiPriority w:val="99"/>
    <w:semiHidden/>
    <w:rsid w:val="002568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8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8FF"/>
    <w:rPr>
      <w:rFonts w:ascii="Tahoma" w:eastAsia="Times New Roman" w:hAnsi="Tahoma" w:cs="Tahoma"/>
      <w:sz w:val="16"/>
      <w:szCs w:val="16"/>
    </w:rPr>
  </w:style>
  <w:style w:type="character" w:styleId="Strong">
    <w:name w:val="Strong"/>
    <w:basedOn w:val="DefaultParagraphFont"/>
    <w:uiPriority w:val="22"/>
    <w:qFormat/>
    <w:rsid w:val="00BF1CA0"/>
    <w:rPr>
      <w:b/>
      <w:bCs/>
    </w:rPr>
  </w:style>
  <w:style w:type="paragraph" w:styleId="Revision">
    <w:name w:val="Revision"/>
    <w:hidden/>
    <w:uiPriority w:val="99"/>
    <w:semiHidden/>
    <w:rsid w:val="00C31009"/>
    <w:pPr>
      <w:spacing w:after="0" w:line="240" w:lineRule="auto"/>
    </w:pPr>
    <w:rPr>
      <w:rFonts w:ascii="Times New Roman" w:eastAsia="Times New Roman" w:hAnsi="Times New Roman" w:cs="Times New Roman"/>
      <w:sz w:val="20"/>
      <w:szCs w:val="20"/>
    </w:rPr>
  </w:style>
  <w:style w:type="paragraph" w:customStyle="1" w:styleId="Default">
    <w:name w:val="Default"/>
    <w:rsid w:val="00091C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7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dn.ca9.uscourts.gov/datastore/opinions/2021/10/20/20-35582.pdf" TargetMode="External"/><Relationship Id="rId2" Type="http://schemas.openxmlformats.org/officeDocument/2006/relationships/hyperlink" Target="https://sor.senate.ca.gov/sites/sor.senate.ca.gov/files/Backgrounder%20on%20Implicit%20Bias%20for%20website.pdf" TargetMode="External"/><Relationship Id="rId1" Type="http://schemas.openxmlformats.org/officeDocument/2006/relationships/hyperlink" Target="https://www.chronicle.com/article/can-we-really-measure-implicit-bias-maybe-not/" TargetMode="External"/><Relationship Id="rId4" Type="http://schemas.openxmlformats.org/officeDocument/2006/relationships/hyperlink" Target="https://www.azcourts.gov/Portals/74/Jury%20TF/Resources/Final%20Report%20Posting%20JTF%20100421.pdf?ver=2021-10-04-171251-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2C346-2F7F-4D63-A8EE-5B7FE87C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Matthew (OPD)</dc:creator>
  <cp:lastModifiedBy>Patricia Seguin</cp:lastModifiedBy>
  <cp:revision>3</cp:revision>
  <dcterms:created xsi:type="dcterms:W3CDTF">2022-04-26T20:11:00Z</dcterms:created>
  <dcterms:modified xsi:type="dcterms:W3CDTF">2022-05-02T23:40:00Z</dcterms:modified>
</cp:coreProperties>
</file>