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D582" w14:textId="50D0B6A1" w:rsidR="00A264DD" w:rsidRDefault="00A264DD"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Rachel H. Mitchell</w:t>
      </w:r>
    </w:p>
    <w:p w14:paraId="0149CA00" w14:textId="42CF028E"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Maricopa </w:t>
      </w:r>
      <w:smartTag w:uri="urn:schemas-microsoft-com:office:smarttags" w:element="place">
        <w:smartTag w:uri="urn:schemas-microsoft-com:office:smarttags" w:element="PlaceType">
          <w:r w:rsidRPr="00240AD0">
            <w:rPr>
              <w:rFonts w:ascii="Garamond" w:hAnsi="Garamond"/>
              <w:b/>
              <w:smallCaps/>
              <w:kern w:val="2"/>
              <w:sz w:val="28"/>
              <w:szCs w:val="28"/>
            </w:rPr>
            <w:t>County</w:t>
          </w:r>
        </w:smartTag>
        <w:r w:rsidRPr="00240AD0">
          <w:rPr>
            <w:rFonts w:ascii="Garamond" w:hAnsi="Garamond"/>
            <w:b/>
            <w:smallCaps/>
            <w:kern w:val="2"/>
            <w:sz w:val="28"/>
            <w:szCs w:val="28"/>
          </w:rPr>
          <w:t xml:space="preserve"> </w:t>
        </w:r>
        <w:smartTag w:uri="urn:schemas-microsoft-com:office:smarttags" w:element="PlaceName">
          <w:r w:rsidRPr="00240AD0">
            <w:rPr>
              <w:rFonts w:ascii="Garamond" w:hAnsi="Garamond"/>
              <w:b/>
              <w:smallCaps/>
              <w:kern w:val="2"/>
              <w:sz w:val="28"/>
              <w:szCs w:val="28"/>
            </w:rPr>
            <w:t>Attorney</w:t>
          </w:r>
        </w:smartTag>
      </w:smartTag>
    </w:p>
    <w:p w14:paraId="06D71E65"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bookmarkStart w:id="0" w:name="_Hlk100047201"/>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bookmarkEnd w:id="0"/>
    <w:p w14:paraId="05B5CB9C"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14:paraId="2A50C028" w14:textId="77777777" w:rsidR="006D3B9E" w:rsidRPr="00240AD0" w:rsidRDefault="00096A15"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Kenneth N. Vick</w:t>
      </w:r>
    </w:p>
    <w:p w14:paraId="76E87B42" w14:textId="77777777" w:rsidR="006D3B9E" w:rsidRPr="00240AD0" w:rsidRDefault="00C8385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14:paraId="4FCD886D" w14:textId="77777777" w:rsidR="006D3B9E" w:rsidRPr="00240AD0" w:rsidRDefault="00096A15"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225</w:t>
      </w:r>
      <w:r w:rsidR="006D3B9E" w:rsidRPr="00240AD0">
        <w:rPr>
          <w:rFonts w:ascii="Garamond" w:hAnsi="Garamond"/>
          <w:b/>
          <w:smallCaps/>
          <w:kern w:val="2"/>
          <w:sz w:val="28"/>
          <w:szCs w:val="28"/>
        </w:rPr>
        <w:t xml:space="preserve"> West </w:t>
      </w:r>
      <w:r>
        <w:rPr>
          <w:rFonts w:ascii="Garamond" w:hAnsi="Garamond"/>
          <w:b/>
          <w:smallCaps/>
          <w:kern w:val="2"/>
          <w:sz w:val="28"/>
          <w:szCs w:val="28"/>
        </w:rPr>
        <w:t>Madison</w:t>
      </w:r>
      <w:r w:rsidR="006D3B9E" w:rsidRPr="00240AD0">
        <w:rPr>
          <w:rFonts w:ascii="Garamond" w:hAnsi="Garamond"/>
          <w:b/>
          <w:smallCaps/>
          <w:kern w:val="2"/>
          <w:sz w:val="28"/>
          <w:szCs w:val="28"/>
        </w:rPr>
        <w:t xml:space="preserve"> Street</w:t>
      </w:r>
    </w:p>
    <w:p w14:paraId="1AF79FFB"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smartTag w:uri="urn:schemas-microsoft-com:office:smarttags" w:element="place">
        <w:smartTag w:uri="urn:schemas-microsoft-com:office:smarttags" w:element="City">
          <w:r w:rsidRPr="00240AD0">
            <w:rPr>
              <w:rFonts w:ascii="Garamond" w:hAnsi="Garamond"/>
              <w:b/>
              <w:smallCaps/>
              <w:kern w:val="2"/>
              <w:sz w:val="28"/>
              <w:szCs w:val="28"/>
            </w:rPr>
            <w:t>Phoenix</w:t>
          </w:r>
        </w:smartTag>
        <w:r w:rsidRPr="00240AD0">
          <w:rPr>
            <w:rFonts w:ascii="Garamond" w:hAnsi="Garamond"/>
            <w:b/>
            <w:smallCaps/>
            <w:kern w:val="2"/>
            <w:sz w:val="28"/>
            <w:szCs w:val="28"/>
          </w:rPr>
          <w:t xml:space="preserve">, </w:t>
        </w:r>
        <w:smartTag w:uri="urn:schemas-microsoft-com:office:smarttags" w:element="State">
          <w:r w:rsidRPr="00240AD0">
            <w:rPr>
              <w:rFonts w:ascii="Garamond" w:hAnsi="Garamond"/>
              <w:b/>
              <w:smallCaps/>
              <w:kern w:val="2"/>
              <w:sz w:val="28"/>
              <w:szCs w:val="28"/>
            </w:rPr>
            <w:t>Arizona</w:t>
          </w:r>
        </w:smartTag>
        <w:r w:rsidRPr="00240AD0">
          <w:rPr>
            <w:rFonts w:ascii="Garamond" w:hAnsi="Garamond"/>
            <w:b/>
            <w:smallCaps/>
            <w:kern w:val="2"/>
            <w:sz w:val="28"/>
            <w:szCs w:val="28"/>
          </w:rPr>
          <w:t xml:space="preserve"> </w:t>
        </w:r>
        <w:smartTag w:uri="urn:schemas-microsoft-com:office:smarttags" w:element="PostalCode">
          <w:r w:rsidRPr="00240AD0">
            <w:rPr>
              <w:rFonts w:ascii="Garamond" w:hAnsi="Garamond"/>
              <w:b/>
              <w:smallCaps/>
              <w:kern w:val="2"/>
              <w:sz w:val="28"/>
              <w:szCs w:val="28"/>
            </w:rPr>
            <w:t>85003</w:t>
          </w:r>
        </w:smartTag>
      </w:smartTag>
    </w:p>
    <w:p w14:paraId="28C1269E"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14:paraId="14F34B5A" w14:textId="71FB1B9F"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096A15">
        <w:rPr>
          <w:rFonts w:ascii="Garamond" w:hAnsi="Garamond"/>
          <w:b/>
          <w:smallCaps/>
          <w:kern w:val="2"/>
          <w:sz w:val="28"/>
          <w:szCs w:val="28"/>
        </w:rPr>
        <w:t>017540</w:t>
      </w:r>
      <w:r w:rsidRPr="00240AD0">
        <w:rPr>
          <w:rFonts w:ascii="Garamond" w:hAnsi="Garamond"/>
          <w:b/>
          <w:smallCaps/>
          <w:kern w:val="2"/>
          <w:sz w:val="28"/>
          <w:szCs w:val="28"/>
        </w:rPr>
        <w:t>)</w:t>
      </w:r>
    </w:p>
    <w:p w14:paraId="549E67E7" w14:textId="77777777"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5C04E933" w14:textId="77777777"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14:paraId="43733307" w14:textId="77777777"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rPr>
      </w:pPr>
      <w:r>
        <w:rPr>
          <w:kern w:val="2"/>
        </w:rPr>
        <w:fldChar w:fldCharType="begin"/>
      </w:r>
      <w:r>
        <w:rPr>
          <w:kern w:val="2"/>
        </w:rPr>
        <w:instrText>ADVANCE \d10</w:instrText>
      </w:r>
      <w:r>
        <w:rPr>
          <w:kern w:val="2"/>
        </w:rPr>
        <w:fldChar w:fldCharType="end"/>
      </w:r>
    </w:p>
    <w:p w14:paraId="357963CB" w14:textId="77777777" w:rsidR="00065A94" w:rsidRPr="00240AD0" w:rsidRDefault="00065A9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042AB0AE" w14:textId="77777777">
        <w:tc>
          <w:tcPr>
            <w:tcW w:w="4680" w:type="dxa"/>
            <w:tcBorders>
              <w:top w:val="single" w:sz="6" w:space="0" w:color="FFFFFF"/>
              <w:left w:val="single" w:sz="6" w:space="0" w:color="FFFFFF"/>
              <w:bottom w:val="single" w:sz="7" w:space="0" w:color="000000"/>
              <w:right w:val="single" w:sz="6" w:space="0" w:color="FFFFFF"/>
            </w:tcBorders>
          </w:tcPr>
          <w:p w14:paraId="0CF62AD5" w14:textId="77777777" w:rsidR="00065A94" w:rsidRDefault="00065A94"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p>
          <w:p w14:paraId="5AD5D6D0" w14:textId="77777777" w:rsidR="00065A94" w:rsidRDefault="00065A94"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p>
          <w:p w14:paraId="589ED48F" w14:textId="372B7E1B" w:rsidR="00065A94" w:rsidRPr="00065A94" w:rsidRDefault="00B02B57"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r>
              <w:rPr>
                <w:b/>
                <w:sz w:val="28"/>
                <w:szCs w:val="28"/>
              </w:rPr>
              <w:t xml:space="preserve">PETITION TO </w:t>
            </w:r>
            <w:r w:rsidR="00C80D1C">
              <w:rPr>
                <w:b/>
                <w:sz w:val="28"/>
                <w:szCs w:val="28"/>
              </w:rPr>
              <w:t>AMEND</w:t>
            </w:r>
            <w:r w:rsidR="00CA0DD2">
              <w:rPr>
                <w:b/>
                <w:sz w:val="28"/>
                <w:szCs w:val="28"/>
              </w:rPr>
              <w:t xml:space="preserve"> </w:t>
            </w:r>
            <w:r w:rsidR="00597527">
              <w:rPr>
                <w:b/>
                <w:sz w:val="28"/>
                <w:szCs w:val="28"/>
              </w:rPr>
              <w:t xml:space="preserve">ARIZONA RULE OF CRIMINAL </w:t>
            </w:r>
            <w:r w:rsidR="00065A94">
              <w:rPr>
                <w:b/>
                <w:sz w:val="28"/>
                <w:szCs w:val="28"/>
              </w:rPr>
              <w:t>P</w:t>
            </w:r>
            <w:r w:rsidR="00597527">
              <w:rPr>
                <w:b/>
                <w:sz w:val="28"/>
                <w:szCs w:val="28"/>
              </w:rPr>
              <w:t>ROCEDURE</w:t>
            </w:r>
            <w:r w:rsidR="00CB0F14">
              <w:rPr>
                <w:b/>
                <w:sz w:val="28"/>
                <w:szCs w:val="28"/>
              </w:rPr>
              <w:t xml:space="preserve"> RULE 15.8(a)</w:t>
            </w:r>
          </w:p>
        </w:tc>
        <w:tc>
          <w:tcPr>
            <w:tcW w:w="367" w:type="dxa"/>
            <w:tcBorders>
              <w:top w:val="single" w:sz="6" w:space="0" w:color="FFFFFF"/>
              <w:left w:val="single" w:sz="7" w:space="0" w:color="000000"/>
              <w:bottom w:val="single" w:sz="6" w:space="0" w:color="FFFFFF"/>
              <w:right w:val="single" w:sz="6" w:space="0" w:color="FFFFFF"/>
            </w:tcBorders>
          </w:tcPr>
          <w:p w14:paraId="604D5A79"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1294BCB6" w14:textId="6A9BDFFC"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w:t>
            </w:r>
            <w:r w:rsidR="005359B4">
              <w:rPr>
                <w:smallCaps/>
                <w:kern w:val="2"/>
                <w:sz w:val="28"/>
                <w:szCs w:val="28"/>
              </w:rPr>
              <w:t>2</w:t>
            </w:r>
            <w:r w:rsidR="00CB0F14">
              <w:rPr>
                <w:smallCaps/>
                <w:kern w:val="2"/>
                <w:sz w:val="28"/>
                <w:szCs w:val="28"/>
              </w:rPr>
              <w:t>2</w:t>
            </w:r>
            <w:r w:rsidR="00190775">
              <w:rPr>
                <w:smallCaps/>
                <w:kern w:val="2"/>
                <w:sz w:val="28"/>
                <w:szCs w:val="28"/>
              </w:rPr>
              <w:t>-002</w:t>
            </w:r>
            <w:r w:rsidR="00CB0F14">
              <w:rPr>
                <w:smallCaps/>
                <w:kern w:val="2"/>
                <w:sz w:val="28"/>
                <w:szCs w:val="28"/>
              </w:rPr>
              <w:t>1</w:t>
            </w:r>
          </w:p>
          <w:p w14:paraId="6F18430B"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10D0EE4A" w14:textId="3F528435" w:rsidR="0015700E" w:rsidRPr="00F7671B" w:rsidRDefault="006D3B9E"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6"/>
                <w:szCs w:val="26"/>
              </w:rPr>
            </w:pPr>
            <w:r w:rsidRPr="00B13E25">
              <w:rPr>
                <w:smallCaps/>
                <w:kern w:val="2"/>
                <w:sz w:val="28"/>
                <w:szCs w:val="28"/>
              </w:rPr>
              <w:t>Maricopa County Attorney’s</w:t>
            </w:r>
            <w:r w:rsidR="00240AD0" w:rsidRPr="00B13E25">
              <w:rPr>
                <w:smallCaps/>
                <w:kern w:val="2"/>
                <w:sz w:val="28"/>
                <w:szCs w:val="28"/>
              </w:rPr>
              <w:t xml:space="preserve"> </w:t>
            </w:r>
            <w:r w:rsidR="00096A15">
              <w:rPr>
                <w:smallCaps/>
                <w:kern w:val="2"/>
                <w:sz w:val="28"/>
                <w:szCs w:val="28"/>
              </w:rPr>
              <w:t xml:space="preserve">Comment in </w:t>
            </w:r>
            <w:r w:rsidR="00190775">
              <w:rPr>
                <w:smallCaps/>
                <w:kern w:val="2"/>
                <w:sz w:val="28"/>
                <w:szCs w:val="28"/>
              </w:rPr>
              <w:t>Opposition</w:t>
            </w:r>
            <w:r w:rsidR="00065A94" w:rsidRPr="0015700E">
              <w:rPr>
                <w:sz w:val="28"/>
                <w:szCs w:val="28"/>
              </w:rPr>
              <w:t xml:space="preserve"> </w:t>
            </w:r>
          </w:p>
          <w:p w14:paraId="3A5258F0"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p>
        </w:tc>
      </w:tr>
    </w:tbl>
    <w:p w14:paraId="74C8AD3E" w14:textId="69FE4DFB"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2F6170C0" w14:textId="67394D3A" w:rsidR="00CB0F14" w:rsidRDefault="00E06B33"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6"/>
          <w:szCs w:val="26"/>
        </w:rPr>
      </w:pPr>
      <w:r w:rsidRPr="00F7671B">
        <w:rPr>
          <w:kern w:val="2"/>
          <w:sz w:val="26"/>
          <w:szCs w:val="26"/>
        </w:rPr>
        <w:t xml:space="preserve">The Maricopa County Attorney’s Office </w:t>
      </w:r>
      <w:r w:rsidR="00F13005" w:rsidRPr="00F7671B">
        <w:rPr>
          <w:kern w:val="2"/>
          <w:sz w:val="26"/>
          <w:szCs w:val="26"/>
        </w:rPr>
        <w:t>(“MCAO”)</w:t>
      </w:r>
      <w:r w:rsidR="00C60F23">
        <w:rPr>
          <w:kern w:val="2"/>
          <w:sz w:val="26"/>
          <w:szCs w:val="26"/>
        </w:rPr>
        <w:t xml:space="preserve"> </w:t>
      </w:r>
      <w:r w:rsidRPr="00F7671B">
        <w:rPr>
          <w:kern w:val="2"/>
          <w:sz w:val="26"/>
          <w:szCs w:val="26"/>
        </w:rPr>
        <w:t xml:space="preserve">objects to the proposal of the Arizona Attorneys for Criminal Justice (“AACJ”).  </w:t>
      </w:r>
      <w:r w:rsidR="007E4950" w:rsidRPr="00F7671B">
        <w:rPr>
          <w:kern w:val="2"/>
          <w:sz w:val="26"/>
          <w:szCs w:val="26"/>
        </w:rPr>
        <w:t xml:space="preserve">The petition </w:t>
      </w:r>
      <w:r w:rsidR="0089028F" w:rsidRPr="00F7671B">
        <w:rPr>
          <w:kern w:val="2"/>
          <w:sz w:val="26"/>
          <w:szCs w:val="26"/>
        </w:rPr>
        <w:t xml:space="preserve">seeks to remove the benefits of pre-arraignment early disposition courts (“EDC”) by disincentivizing pre-arraignment plea offers.  The petition </w:t>
      </w:r>
      <w:r w:rsidR="007E4950" w:rsidRPr="00F7671B">
        <w:rPr>
          <w:kern w:val="2"/>
          <w:sz w:val="26"/>
          <w:szCs w:val="26"/>
        </w:rPr>
        <w:t>ignores the reality of the criminal justice system</w:t>
      </w:r>
      <w:r w:rsidR="00EC7C60">
        <w:rPr>
          <w:kern w:val="2"/>
          <w:sz w:val="26"/>
          <w:szCs w:val="26"/>
        </w:rPr>
        <w:t xml:space="preserve"> and </w:t>
      </w:r>
      <w:r w:rsidR="007E4950" w:rsidRPr="00F7671B">
        <w:rPr>
          <w:kern w:val="2"/>
          <w:sz w:val="26"/>
          <w:szCs w:val="26"/>
        </w:rPr>
        <w:t xml:space="preserve">would </w:t>
      </w:r>
      <w:r w:rsidR="0061385F" w:rsidRPr="00F7671B">
        <w:rPr>
          <w:kern w:val="2"/>
          <w:sz w:val="26"/>
          <w:szCs w:val="26"/>
        </w:rPr>
        <w:t xml:space="preserve">lead </w:t>
      </w:r>
      <w:r w:rsidR="00C60F23">
        <w:rPr>
          <w:kern w:val="2"/>
          <w:sz w:val="26"/>
          <w:szCs w:val="26"/>
        </w:rPr>
        <w:t xml:space="preserve">to </w:t>
      </w:r>
      <w:r w:rsidR="0089028F" w:rsidRPr="00F7671B">
        <w:rPr>
          <w:kern w:val="2"/>
          <w:sz w:val="26"/>
          <w:szCs w:val="26"/>
        </w:rPr>
        <w:t xml:space="preserve">longer case processing times, </w:t>
      </w:r>
      <w:r w:rsidR="00EC7C60">
        <w:rPr>
          <w:kern w:val="2"/>
          <w:sz w:val="26"/>
          <w:szCs w:val="26"/>
        </w:rPr>
        <w:t xml:space="preserve">the elimination of favorable early-resolution </w:t>
      </w:r>
      <w:r w:rsidR="007E4950" w:rsidRPr="00F7671B">
        <w:rPr>
          <w:kern w:val="2"/>
          <w:sz w:val="26"/>
          <w:szCs w:val="26"/>
        </w:rPr>
        <w:t>plea offers</w:t>
      </w:r>
      <w:r w:rsidR="00EC7C60">
        <w:rPr>
          <w:kern w:val="2"/>
          <w:sz w:val="26"/>
          <w:szCs w:val="26"/>
        </w:rPr>
        <w:t>,</w:t>
      </w:r>
      <w:r w:rsidR="00C5384C">
        <w:rPr>
          <w:kern w:val="2"/>
          <w:sz w:val="26"/>
          <w:szCs w:val="26"/>
        </w:rPr>
        <w:t xml:space="preserve"> and</w:t>
      </w:r>
      <w:r w:rsidR="007E4950" w:rsidRPr="00F7671B">
        <w:rPr>
          <w:kern w:val="2"/>
          <w:sz w:val="26"/>
          <w:szCs w:val="26"/>
        </w:rPr>
        <w:t xml:space="preserve"> </w:t>
      </w:r>
      <w:r w:rsidR="0061385F" w:rsidRPr="00F7671B">
        <w:rPr>
          <w:kern w:val="2"/>
          <w:sz w:val="26"/>
          <w:szCs w:val="26"/>
        </w:rPr>
        <w:t>increase</w:t>
      </w:r>
      <w:r w:rsidR="00EC7C60">
        <w:rPr>
          <w:kern w:val="2"/>
          <w:sz w:val="26"/>
          <w:szCs w:val="26"/>
        </w:rPr>
        <w:t>d</w:t>
      </w:r>
      <w:r w:rsidR="0061385F" w:rsidRPr="00F7671B">
        <w:rPr>
          <w:kern w:val="2"/>
          <w:sz w:val="26"/>
          <w:szCs w:val="26"/>
        </w:rPr>
        <w:t xml:space="preserve"> </w:t>
      </w:r>
      <w:r w:rsidR="007E4950" w:rsidRPr="00F7671B">
        <w:rPr>
          <w:kern w:val="2"/>
          <w:sz w:val="26"/>
          <w:szCs w:val="26"/>
        </w:rPr>
        <w:t xml:space="preserve">pretrial incarceration </w:t>
      </w:r>
      <w:r w:rsidR="00EC7C60">
        <w:rPr>
          <w:kern w:val="2"/>
          <w:sz w:val="26"/>
          <w:szCs w:val="26"/>
        </w:rPr>
        <w:t xml:space="preserve">time </w:t>
      </w:r>
      <w:r w:rsidR="007E4950" w:rsidRPr="00F7671B">
        <w:rPr>
          <w:kern w:val="2"/>
          <w:sz w:val="26"/>
          <w:szCs w:val="26"/>
        </w:rPr>
        <w:t>for in-custody defendants</w:t>
      </w:r>
      <w:r w:rsidR="0089028F" w:rsidRPr="00F7671B">
        <w:rPr>
          <w:kern w:val="2"/>
          <w:sz w:val="26"/>
          <w:szCs w:val="26"/>
        </w:rPr>
        <w:t>.  The petition represents poor public policy and should be denied.</w:t>
      </w:r>
    </w:p>
    <w:p w14:paraId="337C1FF6" w14:textId="32DC616B" w:rsidR="009B6E8D" w:rsidRPr="0037470F" w:rsidRDefault="009B6E8D" w:rsidP="00DA3EB0">
      <w:pPr>
        <w:pStyle w:val="ListParagraph"/>
        <w:numPr>
          <w:ilvl w:val="0"/>
          <w:numId w:val="23"/>
        </w:numPr>
        <w:tabs>
          <w:tab w:val="left" w:pos="0"/>
          <w:tab w:val="left" w:pos="5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hanging="1080"/>
        <w:jc w:val="both"/>
        <w:rPr>
          <w:rFonts w:ascii="Times New Roman" w:hAnsi="Times New Roman"/>
          <w:b/>
          <w:bCs/>
          <w:kern w:val="2"/>
          <w:sz w:val="26"/>
          <w:szCs w:val="26"/>
        </w:rPr>
      </w:pPr>
      <w:r w:rsidRPr="0037470F">
        <w:rPr>
          <w:rFonts w:ascii="Times New Roman" w:hAnsi="Times New Roman"/>
          <w:b/>
          <w:bCs/>
          <w:kern w:val="2"/>
          <w:sz w:val="26"/>
          <w:szCs w:val="26"/>
        </w:rPr>
        <w:t>A</w:t>
      </w:r>
      <w:r w:rsidR="00DA3EB0">
        <w:rPr>
          <w:rFonts w:ascii="Times New Roman" w:hAnsi="Times New Roman"/>
          <w:b/>
          <w:bCs/>
          <w:kern w:val="2"/>
          <w:sz w:val="26"/>
          <w:szCs w:val="26"/>
        </w:rPr>
        <w:t>RGUMENT</w:t>
      </w:r>
    </w:p>
    <w:p w14:paraId="46F8E571" w14:textId="2F22BDC5" w:rsidR="00C03EE9" w:rsidRPr="0037470F" w:rsidRDefault="00C03EE9" w:rsidP="00ED7EC8">
      <w:pPr>
        <w:pStyle w:val="ListParagraph"/>
        <w:numPr>
          <w:ilvl w:val="0"/>
          <w:numId w:val="2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b/>
          <w:bCs/>
          <w:kern w:val="2"/>
          <w:sz w:val="26"/>
          <w:szCs w:val="26"/>
        </w:rPr>
      </w:pPr>
      <w:r w:rsidRPr="0037470F">
        <w:rPr>
          <w:rFonts w:ascii="Times New Roman" w:hAnsi="Times New Roman"/>
          <w:b/>
          <w:bCs/>
          <w:kern w:val="2"/>
          <w:sz w:val="26"/>
          <w:szCs w:val="26"/>
        </w:rPr>
        <w:t xml:space="preserve">A plea offer may be conditioned on limited discovery. </w:t>
      </w:r>
    </w:p>
    <w:p w14:paraId="5C9D26FB" w14:textId="13ED65C5" w:rsidR="00C03EE9" w:rsidRDefault="00C03EE9" w:rsidP="00C03EE9">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30"/>
        <w:jc w:val="both"/>
        <w:rPr>
          <w:b/>
          <w:bCs/>
          <w:kern w:val="2"/>
          <w:sz w:val="26"/>
          <w:szCs w:val="26"/>
        </w:rPr>
      </w:pPr>
    </w:p>
    <w:p w14:paraId="535C88F9" w14:textId="773FC496"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tab/>
      </w:r>
      <w:r w:rsidR="007368FC">
        <w:rPr>
          <w:kern w:val="2"/>
          <w:sz w:val="26"/>
          <w:szCs w:val="26"/>
        </w:rPr>
        <w:t xml:space="preserve">The AACJ petition </w:t>
      </w:r>
      <w:r w:rsidR="004B78EB">
        <w:rPr>
          <w:kern w:val="2"/>
          <w:sz w:val="26"/>
          <w:szCs w:val="26"/>
        </w:rPr>
        <w:t xml:space="preserve">seeks to prohibit plea offers, or at least their expiration, before a defendant has all the discovery required by Rule 15.1.  A criminal defendant does not, however, have a constitutional due process right to all available discovery before </w:t>
      </w:r>
      <w:r w:rsidR="00803B30">
        <w:rPr>
          <w:kern w:val="2"/>
          <w:sz w:val="26"/>
          <w:szCs w:val="26"/>
        </w:rPr>
        <w:t xml:space="preserve">deciding </w:t>
      </w:r>
      <w:r w:rsidR="00803B30">
        <w:rPr>
          <w:kern w:val="2"/>
          <w:sz w:val="26"/>
          <w:szCs w:val="26"/>
        </w:rPr>
        <w:lastRenderedPageBreak/>
        <w:t>whether</w:t>
      </w:r>
      <w:r w:rsidR="004B78EB">
        <w:rPr>
          <w:kern w:val="2"/>
          <w:sz w:val="26"/>
          <w:szCs w:val="26"/>
        </w:rPr>
        <w:t xml:space="preserve"> to accept a plea offer.  </w:t>
      </w:r>
      <w:r w:rsidRPr="00F7671B">
        <w:rPr>
          <w:kern w:val="2"/>
          <w:sz w:val="26"/>
          <w:szCs w:val="26"/>
        </w:rPr>
        <w:t xml:space="preserve">The United States Supreme Court </w:t>
      </w:r>
      <w:r w:rsidR="002E4E94">
        <w:rPr>
          <w:kern w:val="2"/>
          <w:sz w:val="26"/>
          <w:szCs w:val="26"/>
        </w:rPr>
        <w:t>has reviewed the constitutionality of requiring a criminal defendant to accept less disclosure than would be required for trial as a condition of a plea offer.  In</w:t>
      </w:r>
      <w:r w:rsidRPr="00F7671B">
        <w:rPr>
          <w:kern w:val="2"/>
          <w:sz w:val="26"/>
          <w:szCs w:val="26"/>
        </w:rPr>
        <w:t xml:space="preserve"> </w:t>
      </w:r>
      <w:r w:rsidRPr="00F7671B">
        <w:rPr>
          <w:i/>
          <w:iCs/>
          <w:kern w:val="2"/>
          <w:sz w:val="26"/>
          <w:szCs w:val="26"/>
        </w:rPr>
        <w:t>United States v. Ruiz</w:t>
      </w:r>
      <w:r w:rsidRPr="00F7671B">
        <w:rPr>
          <w:kern w:val="2"/>
          <w:sz w:val="26"/>
          <w:szCs w:val="26"/>
        </w:rPr>
        <w:t>, 536 U.S. 622 (2002)</w:t>
      </w:r>
      <w:r w:rsidR="002E4E94">
        <w:rPr>
          <w:kern w:val="2"/>
          <w:sz w:val="26"/>
          <w:szCs w:val="26"/>
        </w:rPr>
        <w:t>, t</w:t>
      </w:r>
      <w:r w:rsidRPr="00F7671B">
        <w:rPr>
          <w:kern w:val="2"/>
          <w:sz w:val="26"/>
          <w:szCs w:val="26"/>
        </w:rPr>
        <w:t>he defendant entered a federal “fast track” plea bargain that offered leniency</w:t>
      </w:r>
      <w:r w:rsidR="002E4E94">
        <w:rPr>
          <w:kern w:val="2"/>
          <w:sz w:val="26"/>
          <w:szCs w:val="26"/>
        </w:rPr>
        <w:t>,</w:t>
      </w:r>
      <w:r w:rsidRPr="00F7671B">
        <w:rPr>
          <w:kern w:val="2"/>
          <w:sz w:val="26"/>
          <w:szCs w:val="26"/>
        </w:rPr>
        <w:t xml:space="preserve"> pre-indictment</w:t>
      </w:r>
      <w:r w:rsidR="002E4E94">
        <w:rPr>
          <w:kern w:val="2"/>
          <w:sz w:val="26"/>
          <w:szCs w:val="26"/>
        </w:rPr>
        <w:t>,</w:t>
      </w:r>
      <w:r w:rsidRPr="00F7671B">
        <w:rPr>
          <w:kern w:val="2"/>
          <w:sz w:val="26"/>
          <w:szCs w:val="26"/>
        </w:rPr>
        <w:t xml:space="preserve"> in exchange for the defendant waiving trial and appellate rights as well as the right to receive impeachment information relating to witnesses.  </w:t>
      </w:r>
      <w:r w:rsidRPr="00F7671B">
        <w:rPr>
          <w:i/>
          <w:iCs/>
          <w:kern w:val="2"/>
          <w:sz w:val="26"/>
          <w:szCs w:val="26"/>
        </w:rPr>
        <w:t>Id.</w:t>
      </w:r>
      <w:r w:rsidRPr="00F7671B">
        <w:rPr>
          <w:kern w:val="2"/>
          <w:sz w:val="26"/>
          <w:szCs w:val="26"/>
        </w:rPr>
        <w:t xml:space="preserve"> at 625.  The defendant refused to accept the last term and the government withdrew the offer.  The defendant later pled guilty without an agreement and asked for the same sentencing consideration from the court the government previously offered.  The court refused and he appealed arguing that the government’s offer to plead guilty without receiving impeachment information was unconstitutional.  </w:t>
      </w:r>
      <w:r w:rsidRPr="00F7671B">
        <w:rPr>
          <w:i/>
          <w:iCs/>
          <w:kern w:val="2"/>
          <w:sz w:val="26"/>
          <w:szCs w:val="26"/>
        </w:rPr>
        <w:t>Id.</w:t>
      </w:r>
      <w:r w:rsidRPr="00F7671B">
        <w:rPr>
          <w:kern w:val="2"/>
          <w:sz w:val="26"/>
          <w:szCs w:val="26"/>
        </w:rPr>
        <w:t xml:space="preserve">  </w:t>
      </w:r>
    </w:p>
    <w:p w14:paraId="1FFF9226" w14:textId="77777777"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sidRPr="00F7671B">
        <w:rPr>
          <w:kern w:val="2"/>
          <w:sz w:val="26"/>
          <w:szCs w:val="26"/>
        </w:rPr>
        <w:tab/>
        <w:t xml:space="preserve">In rejecting the defendant’s argument, the Supreme Court noted that </w:t>
      </w:r>
    </w:p>
    <w:p w14:paraId="2A967F8B" w14:textId="77777777"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kern w:val="2"/>
          <w:sz w:val="26"/>
          <w:szCs w:val="26"/>
        </w:rPr>
      </w:pPr>
      <w:r w:rsidRPr="00F7671B">
        <w:rPr>
          <w:kern w:val="2"/>
          <w:sz w:val="26"/>
          <w:szCs w:val="26"/>
        </w:rPr>
        <w:t>this Court has found that the Constitution, in respect to a defendant's awareness of relevant circumstances, does not require complete knowledge of the relevant circumstances, but permits a court to accept a guilty plea, with its accompanying waiver of various constitutional rights, despite various forms of misapprehension under which a defendant might labor.</w:t>
      </w:r>
    </w:p>
    <w:p w14:paraId="6AA7B2C3" w14:textId="77777777"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kern w:val="2"/>
          <w:sz w:val="26"/>
          <w:szCs w:val="26"/>
        </w:rPr>
      </w:pPr>
      <w:r w:rsidRPr="00F7671B">
        <w:rPr>
          <w:kern w:val="2"/>
          <w:sz w:val="26"/>
          <w:szCs w:val="26"/>
        </w:rPr>
        <w:t xml:space="preserve">  </w:t>
      </w:r>
    </w:p>
    <w:p w14:paraId="3E81D6AE" w14:textId="708A1432"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sidRPr="00F7671B">
        <w:rPr>
          <w:i/>
          <w:iCs/>
          <w:kern w:val="2"/>
          <w:sz w:val="26"/>
          <w:szCs w:val="26"/>
        </w:rPr>
        <w:t>Id.</w:t>
      </w:r>
      <w:r w:rsidRPr="00F7671B">
        <w:rPr>
          <w:kern w:val="2"/>
          <w:sz w:val="26"/>
          <w:szCs w:val="26"/>
        </w:rPr>
        <w:t xml:space="preserve"> at 630 (citations omitted).  The Court </w:t>
      </w:r>
      <w:r w:rsidR="004B78EB">
        <w:rPr>
          <w:kern w:val="2"/>
          <w:sz w:val="26"/>
          <w:szCs w:val="26"/>
        </w:rPr>
        <w:t xml:space="preserve">also </w:t>
      </w:r>
      <w:r w:rsidRPr="00F7671B">
        <w:rPr>
          <w:kern w:val="2"/>
          <w:sz w:val="26"/>
          <w:szCs w:val="26"/>
        </w:rPr>
        <w:t xml:space="preserve">noted that requiring full disclosure during a “fast track” process </w:t>
      </w:r>
    </w:p>
    <w:p w14:paraId="1615A402" w14:textId="77777777"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kern w:val="2"/>
          <w:sz w:val="26"/>
          <w:szCs w:val="26"/>
        </w:rPr>
      </w:pPr>
      <w:r w:rsidRPr="00F7671B">
        <w:rPr>
          <w:kern w:val="2"/>
          <w:sz w:val="26"/>
          <w:szCs w:val="26"/>
        </w:rPr>
        <w:t>could require the Government to devote substantially more resources to trial preparation prior to plea bargaining, thereby depriving the plea-bargaining process of its main resource-saving advantages. Or it could lead the Government instead to abandon its heavy reliance upon plea bargaining in a vast number—90% or more—of federal criminal cases.</w:t>
      </w:r>
    </w:p>
    <w:p w14:paraId="5741AF8D" w14:textId="77777777"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440" w:right="1440"/>
        <w:jc w:val="both"/>
        <w:rPr>
          <w:kern w:val="2"/>
          <w:sz w:val="26"/>
          <w:szCs w:val="26"/>
        </w:rPr>
      </w:pPr>
    </w:p>
    <w:p w14:paraId="0DF8915D" w14:textId="77777777"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sidRPr="00F7671B">
        <w:rPr>
          <w:i/>
          <w:iCs/>
          <w:kern w:val="2"/>
          <w:sz w:val="26"/>
          <w:szCs w:val="26"/>
        </w:rPr>
        <w:t>Id</w:t>
      </w:r>
      <w:r w:rsidRPr="00F7671B">
        <w:rPr>
          <w:kern w:val="2"/>
          <w:sz w:val="26"/>
          <w:szCs w:val="26"/>
        </w:rPr>
        <w:t>. at 632.</w:t>
      </w:r>
    </w:p>
    <w:p w14:paraId="13ED47CC" w14:textId="2AE3404F" w:rsidR="00C03EE9" w:rsidRPr="00F7671B" w:rsidRDefault="00C03EE9" w:rsidP="00C03EE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sidRPr="00F7671B">
        <w:rPr>
          <w:kern w:val="2"/>
          <w:sz w:val="26"/>
          <w:szCs w:val="26"/>
        </w:rPr>
        <w:tab/>
      </w:r>
      <w:r w:rsidR="002E4E94">
        <w:rPr>
          <w:kern w:val="2"/>
          <w:sz w:val="26"/>
          <w:szCs w:val="26"/>
        </w:rPr>
        <w:t>T</w:t>
      </w:r>
      <w:r w:rsidRPr="00F7671B">
        <w:rPr>
          <w:kern w:val="2"/>
          <w:sz w:val="26"/>
          <w:szCs w:val="26"/>
        </w:rPr>
        <w:t xml:space="preserve">he disclosure at issue in </w:t>
      </w:r>
      <w:r w:rsidRPr="00F7671B">
        <w:rPr>
          <w:i/>
          <w:iCs/>
          <w:kern w:val="2"/>
          <w:sz w:val="26"/>
          <w:szCs w:val="26"/>
        </w:rPr>
        <w:t xml:space="preserve">Ruiz </w:t>
      </w:r>
      <w:r w:rsidRPr="00F7671B">
        <w:rPr>
          <w:kern w:val="2"/>
          <w:sz w:val="26"/>
          <w:szCs w:val="26"/>
        </w:rPr>
        <w:t xml:space="preserve">was impeachment material—material that must be disclosed before trial as part of the constitution’s “fair trial” guarantee.  </w:t>
      </w:r>
      <w:r w:rsidRPr="00F7671B">
        <w:rPr>
          <w:i/>
          <w:iCs/>
          <w:kern w:val="2"/>
          <w:sz w:val="26"/>
          <w:szCs w:val="26"/>
        </w:rPr>
        <w:t>Id.</w:t>
      </w:r>
      <w:r w:rsidRPr="00F7671B">
        <w:rPr>
          <w:kern w:val="2"/>
          <w:sz w:val="26"/>
          <w:szCs w:val="26"/>
        </w:rPr>
        <w:t xml:space="preserve"> at 628.  Despite </w:t>
      </w:r>
      <w:r w:rsidRPr="00F7671B">
        <w:rPr>
          <w:kern w:val="2"/>
          <w:sz w:val="26"/>
          <w:szCs w:val="26"/>
        </w:rPr>
        <w:lastRenderedPageBreak/>
        <w:t xml:space="preserve">the fact that the </w:t>
      </w:r>
      <w:r w:rsidR="0037470F">
        <w:rPr>
          <w:kern w:val="2"/>
          <w:sz w:val="26"/>
          <w:szCs w:val="26"/>
        </w:rPr>
        <w:t>prosecutors</w:t>
      </w:r>
      <w:r w:rsidRPr="00F7671B">
        <w:rPr>
          <w:kern w:val="2"/>
          <w:sz w:val="26"/>
          <w:szCs w:val="26"/>
        </w:rPr>
        <w:t xml:space="preserve"> would be constitutionally required to disclose this information to the defendant before trial, the Supreme Court nevertheless concluded that the defendant was not entitled to that information before deciding to enter a plea.  </w:t>
      </w:r>
      <w:r w:rsidRPr="00F7671B">
        <w:rPr>
          <w:i/>
          <w:iCs/>
          <w:kern w:val="2"/>
          <w:sz w:val="26"/>
          <w:szCs w:val="26"/>
        </w:rPr>
        <w:t>Id.</w:t>
      </w:r>
      <w:r w:rsidRPr="00F7671B">
        <w:rPr>
          <w:kern w:val="2"/>
          <w:sz w:val="26"/>
          <w:szCs w:val="26"/>
        </w:rPr>
        <w:t xml:space="preserve"> at 633.  </w:t>
      </w:r>
      <w:r w:rsidR="004B78EB">
        <w:rPr>
          <w:kern w:val="2"/>
          <w:sz w:val="26"/>
          <w:szCs w:val="26"/>
        </w:rPr>
        <w:t xml:space="preserve">Unlike the defendant in </w:t>
      </w:r>
      <w:r w:rsidR="004B78EB">
        <w:rPr>
          <w:i/>
          <w:iCs/>
          <w:kern w:val="2"/>
          <w:sz w:val="26"/>
          <w:szCs w:val="26"/>
        </w:rPr>
        <w:t>Ruiz,</w:t>
      </w:r>
      <w:r w:rsidR="004B78EB">
        <w:rPr>
          <w:kern w:val="2"/>
          <w:sz w:val="26"/>
          <w:szCs w:val="26"/>
        </w:rPr>
        <w:t xml:space="preserve"> t</w:t>
      </w:r>
      <w:r w:rsidRPr="004B78EB">
        <w:rPr>
          <w:kern w:val="2"/>
          <w:sz w:val="26"/>
          <w:szCs w:val="26"/>
        </w:rPr>
        <w:t>he</w:t>
      </w:r>
      <w:r w:rsidRPr="00F7671B">
        <w:rPr>
          <w:kern w:val="2"/>
          <w:sz w:val="26"/>
          <w:szCs w:val="26"/>
        </w:rPr>
        <w:t xml:space="preserve"> discovery the AACJ seeks before deciding on a pre-arraignment plea offer is not of constitutional magnitude.  </w:t>
      </w:r>
      <w:r w:rsidRPr="00F7671B">
        <w:rPr>
          <w:i/>
          <w:iCs/>
          <w:kern w:val="2"/>
          <w:sz w:val="26"/>
          <w:szCs w:val="26"/>
        </w:rPr>
        <w:t>See Weatherford v. Bursey</w:t>
      </w:r>
      <w:r w:rsidRPr="00F7671B">
        <w:rPr>
          <w:kern w:val="2"/>
          <w:sz w:val="26"/>
          <w:szCs w:val="26"/>
        </w:rPr>
        <w:t xml:space="preserve">, 429 U.S. 545, 559 (1977) (noting that “[t]here is no general constitutional right to discovery in a criminal case… .”); </w:t>
      </w:r>
      <w:r w:rsidRPr="00F7671B">
        <w:rPr>
          <w:i/>
          <w:iCs/>
          <w:kern w:val="2"/>
          <w:sz w:val="26"/>
          <w:szCs w:val="26"/>
        </w:rPr>
        <w:t>R.S. v. Thompson</w:t>
      </w:r>
      <w:r w:rsidRPr="00F7671B">
        <w:rPr>
          <w:kern w:val="2"/>
          <w:sz w:val="26"/>
          <w:szCs w:val="26"/>
        </w:rPr>
        <w:t xml:space="preserve">, 251 Ariz. 111, 117, ¶ 15, 485 P.3d 1068, 1074 (2021).  </w:t>
      </w:r>
    </w:p>
    <w:p w14:paraId="0C21D320" w14:textId="4DB1F440" w:rsidR="00ED7EC8" w:rsidRPr="00A24888" w:rsidRDefault="00ED7EC8" w:rsidP="00ED7EC8">
      <w:pPr>
        <w:pStyle w:val="ListParagraph"/>
        <w:numPr>
          <w:ilvl w:val="0"/>
          <w:numId w:val="2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b/>
          <w:bCs/>
          <w:kern w:val="2"/>
          <w:sz w:val="26"/>
          <w:szCs w:val="26"/>
        </w:rPr>
      </w:pPr>
      <w:r w:rsidRPr="00A24888">
        <w:rPr>
          <w:rFonts w:ascii="Times New Roman" w:hAnsi="Times New Roman"/>
          <w:b/>
          <w:bCs/>
          <w:kern w:val="2"/>
          <w:sz w:val="26"/>
          <w:szCs w:val="26"/>
        </w:rPr>
        <w:t>Early resolutions benefit the State, the courts</w:t>
      </w:r>
      <w:r w:rsidR="00A24888" w:rsidRPr="00A24888">
        <w:rPr>
          <w:rFonts w:ascii="Times New Roman" w:hAnsi="Times New Roman"/>
          <w:b/>
          <w:bCs/>
          <w:kern w:val="2"/>
          <w:sz w:val="26"/>
          <w:szCs w:val="26"/>
        </w:rPr>
        <w:t>,</w:t>
      </w:r>
      <w:r w:rsidRPr="00A24888">
        <w:rPr>
          <w:rFonts w:ascii="Times New Roman" w:hAnsi="Times New Roman"/>
          <w:b/>
          <w:bCs/>
          <w:kern w:val="2"/>
          <w:sz w:val="26"/>
          <w:szCs w:val="26"/>
        </w:rPr>
        <w:t xml:space="preserve"> and the defendant.</w:t>
      </w:r>
    </w:p>
    <w:p w14:paraId="5CC3863E" w14:textId="37B1324C" w:rsidR="001803F6" w:rsidRDefault="001803F6" w:rsidP="001803F6">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30"/>
        <w:jc w:val="both"/>
        <w:rPr>
          <w:b/>
          <w:bCs/>
          <w:kern w:val="2"/>
          <w:sz w:val="26"/>
          <w:szCs w:val="26"/>
        </w:rPr>
      </w:pPr>
    </w:p>
    <w:p w14:paraId="4F07A838" w14:textId="0F4356D7" w:rsidR="00411B48" w:rsidRDefault="00775E8B" w:rsidP="00775E8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6"/>
          <w:szCs w:val="26"/>
        </w:rPr>
      </w:pPr>
      <w:r>
        <w:rPr>
          <w:kern w:val="2"/>
          <w:sz w:val="26"/>
          <w:szCs w:val="26"/>
        </w:rPr>
        <w:t>Knowing that it is appropriate for a plea offer to be conditioned on limited discovery, t</w:t>
      </w:r>
      <w:r w:rsidRPr="00F7671B">
        <w:rPr>
          <w:kern w:val="2"/>
          <w:sz w:val="26"/>
          <w:szCs w:val="26"/>
        </w:rPr>
        <w:t xml:space="preserve">he AACJ </w:t>
      </w:r>
      <w:r>
        <w:rPr>
          <w:kern w:val="2"/>
          <w:sz w:val="26"/>
          <w:szCs w:val="26"/>
        </w:rPr>
        <w:t>frames</w:t>
      </w:r>
      <w:r w:rsidRPr="00F7671B">
        <w:rPr>
          <w:kern w:val="2"/>
          <w:sz w:val="26"/>
          <w:szCs w:val="26"/>
        </w:rPr>
        <w:t xml:space="preserve"> the practice of trying to resolve cases in an EDC as coercive, stating that prosecutors “threaten[] defendants with a harsher plea or no plea at all if the [sic] move past the early disposition courts… .”  [Petition at 7.]</w:t>
      </w:r>
      <w:r>
        <w:rPr>
          <w:kern w:val="2"/>
          <w:sz w:val="26"/>
          <w:szCs w:val="26"/>
        </w:rPr>
        <w:t xml:space="preserve">  </w:t>
      </w:r>
      <w:r w:rsidR="008446C3" w:rsidRPr="009B23EA">
        <w:rPr>
          <w:kern w:val="2"/>
          <w:sz w:val="26"/>
          <w:szCs w:val="26"/>
        </w:rPr>
        <w:t>AACJ cites no</w:t>
      </w:r>
      <w:r w:rsidR="00111CE0" w:rsidRPr="009B23EA">
        <w:rPr>
          <w:kern w:val="2"/>
          <w:sz w:val="26"/>
          <w:szCs w:val="26"/>
        </w:rPr>
        <w:t xml:space="preserve"> facts</w:t>
      </w:r>
      <w:r w:rsidR="009B23EA" w:rsidRPr="009B23EA">
        <w:rPr>
          <w:kern w:val="2"/>
          <w:sz w:val="26"/>
          <w:szCs w:val="26"/>
        </w:rPr>
        <w:t xml:space="preserve"> or </w:t>
      </w:r>
      <w:r w:rsidR="00111CE0" w:rsidRPr="009B23EA">
        <w:rPr>
          <w:kern w:val="2"/>
          <w:sz w:val="26"/>
          <w:szCs w:val="26"/>
        </w:rPr>
        <w:t>data nor any</w:t>
      </w:r>
      <w:r w:rsidR="008446C3" w:rsidRPr="009B23EA">
        <w:rPr>
          <w:kern w:val="2"/>
          <w:sz w:val="26"/>
          <w:szCs w:val="26"/>
        </w:rPr>
        <w:t xml:space="preserve"> </w:t>
      </w:r>
      <w:r w:rsidR="006C2099" w:rsidRPr="009B23EA">
        <w:rPr>
          <w:kern w:val="2"/>
          <w:sz w:val="26"/>
          <w:szCs w:val="26"/>
        </w:rPr>
        <w:t xml:space="preserve">legal </w:t>
      </w:r>
      <w:r w:rsidR="008446C3" w:rsidRPr="009B23EA">
        <w:rPr>
          <w:kern w:val="2"/>
          <w:sz w:val="26"/>
          <w:szCs w:val="26"/>
        </w:rPr>
        <w:t xml:space="preserve">authority </w:t>
      </w:r>
      <w:r w:rsidR="00A047FB" w:rsidRPr="009B23EA">
        <w:rPr>
          <w:kern w:val="2"/>
          <w:sz w:val="26"/>
          <w:szCs w:val="26"/>
        </w:rPr>
        <w:t xml:space="preserve">supporting its coercion theory, which </w:t>
      </w:r>
      <w:r w:rsidR="00111CE0" w:rsidRPr="009B23EA">
        <w:rPr>
          <w:kern w:val="2"/>
          <w:sz w:val="26"/>
          <w:szCs w:val="26"/>
        </w:rPr>
        <w:t xml:space="preserve">is contrary to </w:t>
      </w:r>
      <w:r w:rsidR="00A047FB" w:rsidRPr="009B23EA">
        <w:rPr>
          <w:kern w:val="2"/>
          <w:sz w:val="26"/>
          <w:szCs w:val="26"/>
        </w:rPr>
        <w:t xml:space="preserve">decades of controlling law on constitutional plea bargaining.  </w:t>
      </w:r>
      <w:r w:rsidR="008446C3" w:rsidRPr="009B23EA">
        <w:rPr>
          <w:sz w:val="26"/>
          <w:szCs w:val="26"/>
        </w:rPr>
        <w:t>When the prosecution offers a plea agreement, it is free to include such conditions and terms as it deems appropriate</w:t>
      </w:r>
      <w:r w:rsidR="009B23EA" w:rsidRPr="009B23EA">
        <w:rPr>
          <w:sz w:val="26"/>
          <w:szCs w:val="26"/>
        </w:rPr>
        <w:t>—</w:t>
      </w:r>
      <w:r w:rsidR="008446C3" w:rsidRPr="009B23EA">
        <w:rPr>
          <w:sz w:val="26"/>
          <w:szCs w:val="26"/>
        </w:rPr>
        <w:t>even “harsh” ones—so long as the defendant is free to accept or reject the offer. This practice does not constitute prosecutorial punishment or retaliation in the plea-bargaining process.</w:t>
      </w:r>
      <w:r w:rsidR="00A047FB" w:rsidRPr="009B23EA">
        <w:rPr>
          <w:sz w:val="26"/>
          <w:szCs w:val="26"/>
        </w:rPr>
        <w:t xml:space="preserve">  </w:t>
      </w:r>
      <w:r w:rsidR="00A047FB" w:rsidRPr="009B23EA">
        <w:rPr>
          <w:i/>
          <w:iCs/>
          <w:sz w:val="26"/>
          <w:szCs w:val="26"/>
        </w:rPr>
        <w:t>See</w:t>
      </w:r>
      <w:r w:rsidR="008446C3" w:rsidRPr="009B23EA">
        <w:rPr>
          <w:i/>
          <w:iCs/>
          <w:sz w:val="26"/>
          <w:szCs w:val="26"/>
        </w:rPr>
        <w:t xml:space="preserve"> </w:t>
      </w:r>
      <w:r w:rsidR="00A047FB" w:rsidRPr="009B23EA">
        <w:rPr>
          <w:i/>
          <w:iCs/>
          <w:sz w:val="26"/>
          <w:szCs w:val="26"/>
        </w:rPr>
        <w:t>Bordenkircher v. Hayes</w:t>
      </w:r>
      <w:r w:rsidR="00A047FB" w:rsidRPr="009B23EA">
        <w:rPr>
          <w:sz w:val="26"/>
          <w:szCs w:val="26"/>
        </w:rPr>
        <w:t>, 434 U.S. 357, 363-65 (1978) and its progeny</w:t>
      </w:r>
      <w:r w:rsidR="001040A8" w:rsidRPr="009B23EA">
        <w:rPr>
          <w:sz w:val="26"/>
          <w:szCs w:val="26"/>
        </w:rPr>
        <w:t xml:space="preserve">;  </w:t>
      </w:r>
      <w:r w:rsidR="00B455C7" w:rsidRPr="009B23EA">
        <w:rPr>
          <w:i/>
          <w:iCs/>
          <w:sz w:val="26"/>
          <w:szCs w:val="26"/>
        </w:rPr>
        <w:t>see also State v. Felix</w:t>
      </w:r>
      <w:r w:rsidR="00B455C7" w:rsidRPr="009B23EA">
        <w:rPr>
          <w:sz w:val="26"/>
          <w:szCs w:val="26"/>
        </w:rPr>
        <w:t xml:space="preserve">, 153 Ariz. 417, 419, 737 P.2d 393, 395 (App. 1987);  </w:t>
      </w:r>
      <w:r w:rsidR="00B455C7" w:rsidRPr="009B23EA">
        <w:rPr>
          <w:i/>
          <w:iCs/>
          <w:sz w:val="26"/>
          <w:szCs w:val="26"/>
        </w:rPr>
        <w:t>State v. Caperon</w:t>
      </w:r>
      <w:r w:rsidR="00B455C7" w:rsidRPr="009B23EA">
        <w:rPr>
          <w:sz w:val="26"/>
          <w:szCs w:val="26"/>
        </w:rPr>
        <w:t>, 151 Ariz. 426, 428, 728 P.2d 296, 298 (App. 1986)</w:t>
      </w:r>
      <w:r w:rsidR="00A047FB" w:rsidRPr="009B23EA">
        <w:rPr>
          <w:sz w:val="26"/>
          <w:szCs w:val="26"/>
        </w:rPr>
        <w:t>.</w:t>
      </w:r>
      <w:r w:rsidR="00A047FB">
        <w:rPr>
          <w:sz w:val="26"/>
          <w:szCs w:val="26"/>
        </w:rPr>
        <w:t xml:space="preserve">  </w:t>
      </w:r>
      <w:r w:rsidR="00141117">
        <w:rPr>
          <w:kern w:val="2"/>
          <w:sz w:val="26"/>
          <w:szCs w:val="26"/>
        </w:rPr>
        <w:t xml:space="preserve">MCAO, and it is likely true of the other prosecution offices that use an EDC, has </w:t>
      </w:r>
      <w:r w:rsidRPr="00F7671B">
        <w:rPr>
          <w:kern w:val="2"/>
          <w:sz w:val="26"/>
          <w:szCs w:val="26"/>
        </w:rPr>
        <w:t xml:space="preserve">made a policy decision to make </w:t>
      </w:r>
      <w:r w:rsidRPr="00F7671B">
        <w:rPr>
          <w:i/>
          <w:iCs/>
          <w:kern w:val="2"/>
          <w:sz w:val="26"/>
          <w:szCs w:val="26"/>
        </w:rPr>
        <w:t>more lenient</w:t>
      </w:r>
      <w:r w:rsidRPr="00F7671B">
        <w:rPr>
          <w:kern w:val="2"/>
          <w:sz w:val="26"/>
          <w:szCs w:val="26"/>
        </w:rPr>
        <w:t xml:space="preserve"> plea offers to those defendants who accept responsibility for their actions </w:t>
      </w:r>
      <w:r w:rsidRPr="007368FC">
        <w:rPr>
          <w:kern w:val="2"/>
          <w:sz w:val="26"/>
          <w:szCs w:val="26"/>
        </w:rPr>
        <w:t>before arraignment</w:t>
      </w:r>
      <w:r w:rsidRPr="00F7671B">
        <w:rPr>
          <w:kern w:val="2"/>
          <w:sz w:val="26"/>
          <w:szCs w:val="26"/>
        </w:rPr>
        <w:t>.</w:t>
      </w:r>
      <w:r w:rsidR="00141117">
        <w:rPr>
          <w:kern w:val="2"/>
          <w:sz w:val="26"/>
          <w:szCs w:val="26"/>
        </w:rPr>
        <w:t xml:space="preserve">  </w:t>
      </w:r>
      <w:r w:rsidRPr="00F7671B">
        <w:rPr>
          <w:kern w:val="2"/>
          <w:sz w:val="26"/>
          <w:szCs w:val="26"/>
        </w:rPr>
        <w:t xml:space="preserve">The reason for this is simple: </w:t>
      </w:r>
      <w:r>
        <w:rPr>
          <w:kern w:val="2"/>
          <w:sz w:val="26"/>
          <w:szCs w:val="26"/>
        </w:rPr>
        <w:t xml:space="preserve">most </w:t>
      </w:r>
      <w:r>
        <w:rPr>
          <w:kern w:val="2"/>
          <w:sz w:val="26"/>
          <w:szCs w:val="26"/>
        </w:rPr>
        <w:lastRenderedPageBreak/>
        <w:t xml:space="preserve">of Arizona’s discovery rules </w:t>
      </w:r>
      <w:r w:rsidRPr="00F7671B">
        <w:rPr>
          <w:kern w:val="2"/>
          <w:sz w:val="26"/>
          <w:szCs w:val="26"/>
        </w:rPr>
        <w:t xml:space="preserve">are triggered </w:t>
      </w:r>
      <w:r>
        <w:rPr>
          <w:kern w:val="2"/>
          <w:sz w:val="26"/>
          <w:szCs w:val="26"/>
        </w:rPr>
        <w:t xml:space="preserve">by the arraignment </w:t>
      </w:r>
      <w:r w:rsidRPr="00F7671B">
        <w:rPr>
          <w:kern w:val="2"/>
          <w:sz w:val="26"/>
          <w:szCs w:val="26"/>
        </w:rPr>
        <w:t>so the State receives a significant resource benefit when a criminal case is resolved early in the process.  Those defendants who are willing to take early responsibility for their actions receive a benefit, while the public benefits by the justice system’s resources being focused on more serious cases</w:t>
      </w:r>
      <w:r>
        <w:rPr>
          <w:kern w:val="2"/>
          <w:sz w:val="26"/>
          <w:szCs w:val="26"/>
        </w:rPr>
        <w:t xml:space="preserve"> and</w:t>
      </w:r>
      <w:r w:rsidRPr="00F7671B">
        <w:rPr>
          <w:kern w:val="2"/>
          <w:sz w:val="26"/>
          <w:szCs w:val="26"/>
        </w:rPr>
        <w:t xml:space="preserve"> those unlikely to resolve by plea.  </w:t>
      </w:r>
    </w:p>
    <w:p w14:paraId="4CE9C38E" w14:textId="5D882991" w:rsidR="00DB04F2" w:rsidRDefault="00775E8B" w:rsidP="00B7066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6"/>
          <w:szCs w:val="26"/>
        </w:rPr>
      </w:pPr>
      <w:r w:rsidRPr="00F7671B">
        <w:rPr>
          <w:kern w:val="2"/>
          <w:sz w:val="26"/>
          <w:szCs w:val="26"/>
        </w:rPr>
        <w:t xml:space="preserve">The AACJ wants to have their cake and eat it too.  They want the more lenient plea offers afforded to defendants in an </w:t>
      </w:r>
      <w:r>
        <w:rPr>
          <w:kern w:val="2"/>
          <w:sz w:val="26"/>
          <w:szCs w:val="26"/>
        </w:rPr>
        <w:t>EDC</w:t>
      </w:r>
      <w:r w:rsidRPr="00F7671B">
        <w:rPr>
          <w:kern w:val="2"/>
          <w:sz w:val="26"/>
          <w:szCs w:val="26"/>
        </w:rPr>
        <w:t>, while simultaneously being afforded the full disclosure benefits currently only available after arraignment.</w:t>
      </w:r>
      <w:r w:rsidR="00411B48">
        <w:rPr>
          <w:kern w:val="2"/>
          <w:sz w:val="26"/>
          <w:szCs w:val="26"/>
        </w:rPr>
        <w:t xml:space="preserve">  </w:t>
      </w:r>
      <w:r w:rsidR="001803F6" w:rsidRPr="00DB04F2">
        <w:rPr>
          <w:kern w:val="2"/>
          <w:sz w:val="26"/>
          <w:szCs w:val="26"/>
        </w:rPr>
        <w:t>The AACJ</w:t>
      </w:r>
      <w:r w:rsidRPr="00DB04F2">
        <w:rPr>
          <w:kern w:val="2"/>
          <w:sz w:val="26"/>
          <w:szCs w:val="26"/>
        </w:rPr>
        <w:t xml:space="preserve">’s position </w:t>
      </w:r>
      <w:r w:rsidR="001803F6" w:rsidRPr="00DB04F2">
        <w:rPr>
          <w:kern w:val="2"/>
          <w:sz w:val="26"/>
          <w:szCs w:val="26"/>
        </w:rPr>
        <w:t>ignores the reality of present-day disclosure</w:t>
      </w:r>
      <w:r w:rsidR="008B63D3" w:rsidRPr="00DB04F2">
        <w:rPr>
          <w:kern w:val="2"/>
          <w:sz w:val="26"/>
          <w:szCs w:val="26"/>
        </w:rPr>
        <w:t xml:space="preserve"> and the </w:t>
      </w:r>
      <w:r w:rsidR="0009081A" w:rsidRPr="00DB04F2">
        <w:rPr>
          <w:kern w:val="2"/>
          <w:sz w:val="26"/>
          <w:szCs w:val="26"/>
        </w:rPr>
        <w:t xml:space="preserve">resource </w:t>
      </w:r>
      <w:r w:rsidR="008B63D3" w:rsidRPr="00DB04F2">
        <w:rPr>
          <w:kern w:val="2"/>
          <w:sz w:val="26"/>
          <w:szCs w:val="26"/>
        </w:rPr>
        <w:t>benefits of plea agreements</w:t>
      </w:r>
      <w:r w:rsidR="001803F6" w:rsidRPr="00DB04F2">
        <w:rPr>
          <w:kern w:val="2"/>
          <w:sz w:val="26"/>
          <w:szCs w:val="26"/>
        </w:rPr>
        <w:t xml:space="preserve">.  </w:t>
      </w:r>
    </w:p>
    <w:p w14:paraId="5D87C9A4" w14:textId="2F90CC09" w:rsidR="0009081A" w:rsidRDefault="00DB04F2" w:rsidP="001803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tab/>
        <w:t>M</w:t>
      </w:r>
      <w:r w:rsidRPr="00B7066D">
        <w:rPr>
          <w:kern w:val="2"/>
          <w:sz w:val="26"/>
          <w:szCs w:val="26"/>
        </w:rPr>
        <w:t xml:space="preserve">ost importantly, </w:t>
      </w:r>
      <w:r w:rsidR="00F507CA" w:rsidRPr="00B7066D">
        <w:rPr>
          <w:kern w:val="2"/>
          <w:sz w:val="26"/>
          <w:szCs w:val="26"/>
        </w:rPr>
        <w:t xml:space="preserve">limited pre-arraignment discovery is specifically authorized by Rule 15.1(a).  </w:t>
      </w:r>
      <w:r w:rsidR="00847574">
        <w:rPr>
          <w:kern w:val="2"/>
          <w:sz w:val="26"/>
          <w:szCs w:val="26"/>
        </w:rPr>
        <w:t>L</w:t>
      </w:r>
      <w:r w:rsidR="00036894" w:rsidRPr="00B7066D">
        <w:rPr>
          <w:kern w:val="2"/>
          <w:sz w:val="26"/>
          <w:szCs w:val="26"/>
        </w:rPr>
        <w:t xml:space="preserve">imited discovery </w:t>
      </w:r>
      <w:r w:rsidR="001803F6" w:rsidRPr="00B7066D">
        <w:rPr>
          <w:kern w:val="2"/>
          <w:sz w:val="26"/>
          <w:szCs w:val="26"/>
        </w:rPr>
        <w:t>is one of the main resource-saving advantages of an EDC resolution.</w:t>
      </w:r>
      <w:r w:rsidR="001803F6" w:rsidRPr="00F7671B">
        <w:rPr>
          <w:kern w:val="2"/>
          <w:sz w:val="26"/>
          <w:szCs w:val="26"/>
        </w:rPr>
        <w:t xml:space="preserve">  </w:t>
      </w:r>
      <w:r>
        <w:rPr>
          <w:kern w:val="2"/>
          <w:sz w:val="26"/>
          <w:szCs w:val="26"/>
        </w:rPr>
        <w:t>D</w:t>
      </w:r>
      <w:r w:rsidR="00E829AF">
        <w:rPr>
          <w:kern w:val="2"/>
          <w:sz w:val="26"/>
          <w:szCs w:val="26"/>
        </w:rPr>
        <w:t xml:space="preserve">isclosing all the evidence under Rule 15.1(b) is time consuming.  Someone unfamiliar with the realities of criminal practice in Arizona might see compliance with Rule 15.1(b) as a fairly simple </w:t>
      </w:r>
      <w:r w:rsidR="0009081A">
        <w:rPr>
          <w:kern w:val="2"/>
          <w:sz w:val="26"/>
          <w:szCs w:val="26"/>
        </w:rPr>
        <w:t xml:space="preserve">matter </w:t>
      </w:r>
      <w:r w:rsidR="00E829AF">
        <w:rPr>
          <w:kern w:val="2"/>
          <w:sz w:val="26"/>
          <w:szCs w:val="26"/>
        </w:rPr>
        <w:t xml:space="preserve">as much of the rule simply requires the State to provide lists.  </w:t>
      </w:r>
      <w:r w:rsidR="00E829AF">
        <w:rPr>
          <w:i/>
          <w:iCs/>
          <w:kern w:val="2"/>
          <w:sz w:val="26"/>
          <w:szCs w:val="26"/>
        </w:rPr>
        <w:t xml:space="preserve">See </w:t>
      </w:r>
      <w:r w:rsidR="00E829AF" w:rsidRPr="0009081A">
        <w:rPr>
          <w:smallCaps/>
          <w:kern w:val="2"/>
          <w:sz w:val="26"/>
          <w:szCs w:val="26"/>
        </w:rPr>
        <w:t>Ariz. R. Crim. P.</w:t>
      </w:r>
      <w:r w:rsidR="00E829AF">
        <w:rPr>
          <w:kern w:val="2"/>
          <w:sz w:val="26"/>
          <w:szCs w:val="26"/>
        </w:rPr>
        <w:t xml:space="preserve"> 15.1(b)(5-7).  But in practice, prosecutor</w:t>
      </w:r>
      <w:r w:rsidR="005F5A89">
        <w:rPr>
          <w:kern w:val="2"/>
          <w:sz w:val="26"/>
          <w:szCs w:val="26"/>
        </w:rPr>
        <w:t>s</w:t>
      </w:r>
      <w:r w:rsidR="00E829AF">
        <w:rPr>
          <w:kern w:val="2"/>
          <w:sz w:val="26"/>
          <w:szCs w:val="26"/>
        </w:rPr>
        <w:t xml:space="preserve"> must provide the actual items in Rule 15.1(b) because most defense attorneys file requests under Rule 15.1(e)</w:t>
      </w:r>
      <w:r w:rsidR="005F5A89">
        <w:rPr>
          <w:kern w:val="2"/>
          <w:sz w:val="26"/>
          <w:szCs w:val="26"/>
        </w:rPr>
        <w:t xml:space="preserve"> shortly after arraignment</w:t>
      </w:r>
      <w:r w:rsidR="00E829AF">
        <w:rPr>
          <w:kern w:val="2"/>
          <w:sz w:val="26"/>
          <w:szCs w:val="26"/>
        </w:rPr>
        <w:t>.</w:t>
      </w:r>
      <w:r w:rsidR="005F5A89">
        <w:rPr>
          <w:kern w:val="2"/>
          <w:sz w:val="26"/>
          <w:szCs w:val="26"/>
        </w:rPr>
        <w:t xml:space="preserve">  That rule </w:t>
      </w:r>
      <w:r w:rsidR="004C6DEC">
        <w:rPr>
          <w:kern w:val="2"/>
          <w:sz w:val="26"/>
          <w:szCs w:val="26"/>
        </w:rPr>
        <w:t xml:space="preserve">requires the State to make the </w:t>
      </w:r>
      <w:r w:rsidR="005F5A89">
        <w:rPr>
          <w:kern w:val="2"/>
          <w:sz w:val="26"/>
          <w:szCs w:val="26"/>
        </w:rPr>
        <w:t xml:space="preserve">items listed in Rule 15.1(b) available to the defense for reproduction.  But, as further explained below, most evidence </w:t>
      </w:r>
      <w:r w:rsidR="0009081A">
        <w:rPr>
          <w:kern w:val="2"/>
          <w:sz w:val="26"/>
          <w:szCs w:val="26"/>
        </w:rPr>
        <w:t>must</w:t>
      </w:r>
      <w:r w:rsidR="005F5A89">
        <w:rPr>
          <w:kern w:val="2"/>
          <w:sz w:val="26"/>
          <w:szCs w:val="26"/>
        </w:rPr>
        <w:t xml:space="preserve"> be reviewed and redacted before it can be </w:t>
      </w:r>
      <w:r w:rsidR="0009081A">
        <w:rPr>
          <w:kern w:val="2"/>
          <w:sz w:val="26"/>
          <w:szCs w:val="26"/>
        </w:rPr>
        <w:t xml:space="preserve">made available </w:t>
      </w:r>
      <w:r w:rsidR="005F5A89">
        <w:rPr>
          <w:kern w:val="2"/>
          <w:sz w:val="26"/>
          <w:szCs w:val="26"/>
        </w:rPr>
        <w:t xml:space="preserve">to the defense for any purpose.  The practical reality is that Rule 15.1 requires production of </w:t>
      </w:r>
      <w:r w:rsidR="004C6DEC">
        <w:rPr>
          <w:kern w:val="2"/>
          <w:sz w:val="26"/>
          <w:szCs w:val="26"/>
        </w:rPr>
        <w:t xml:space="preserve">copies of </w:t>
      </w:r>
      <w:r w:rsidR="005F5A89">
        <w:rPr>
          <w:kern w:val="2"/>
          <w:sz w:val="26"/>
          <w:szCs w:val="26"/>
        </w:rPr>
        <w:t>the actual items listed in Rule 15.1(b) not simply lists as the rule suggests.</w:t>
      </w:r>
    </w:p>
    <w:p w14:paraId="33996D7C" w14:textId="44CBFD9E" w:rsidR="001803F6" w:rsidRPr="00F7671B" w:rsidRDefault="0009081A" w:rsidP="001803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lastRenderedPageBreak/>
        <w:tab/>
        <w:t>This practical reality is particularly problematic when handling d</w:t>
      </w:r>
      <w:r w:rsidR="001803F6" w:rsidRPr="00F7671B">
        <w:rPr>
          <w:kern w:val="2"/>
          <w:sz w:val="26"/>
          <w:szCs w:val="26"/>
        </w:rPr>
        <w:t xml:space="preserve">igital evidence </w:t>
      </w:r>
      <w:r>
        <w:rPr>
          <w:kern w:val="2"/>
          <w:sz w:val="26"/>
          <w:szCs w:val="26"/>
        </w:rPr>
        <w:t xml:space="preserve">like officer body worn camera video and cell phone downloads.  Digital evidence </w:t>
      </w:r>
      <w:r w:rsidR="001803F6" w:rsidRPr="00F7671B">
        <w:rPr>
          <w:kern w:val="2"/>
          <w:sz w:val="26"/>
          <w:szCs w:val="26"/>
        </w:rPr>
        <w:t xml:space="preserve">is now ubiquitous.  Even a simple drug possession case could have dozens of body worn camera videos, consisting of hours of footage.  Disclosing such digital evidence is not as simple as just creating a copy and sending it to the defense.  </w:t>
      </w:r>
    </w:p>
    <w:p w14:paraId="200A0FD5" w14:textId="77777777" w:rsidR="001803F6" w:rsidRPr="00F7671B" w:rsidRDefault="001803F6" w:rsidP="001803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sidRPr="00F7671B">
        <w:rPr>
          <w:kern w:val="2"/>
          <w:sz w:val="26"/>
          <w:szCs w:val="26"/>
        </w:rPr>
        <w:tab/>
        <w:t>First, in a victim case, A.R.S. § 13-4434 requires that any victim’s identifying and locating information be redacted prior to disclosure.  Failure to do so violates the victim’s rights and exposes the prosecuting agency to damages pursuant to A.R.S. § 13-4437.  These statutes require that somebody review every minute of body worn camera footage in a victim case to ensure that all victim identifying information is redacted.</w:t>
      </w:r>
    </w:p>
    <w:p w14:paraId="3D0E136E" w14:textId="77777777" w:rsidR="001803F6" w:rsidRPr="00F7671B" w:rsidRDefault="001803F6" w:rsidP="001803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6"/>
          <w:szCs w:val="26"/>
        </w:rPr>
      </w:pPr>
      <w:r w:rsidRPr="00F7671B">
        <w:rPr>
          <w:kern w:val="2"/>
          <w:sz w:val="26"/>
          <w:szCs w:val="26"/>
        </w:rPr>
        <w:t xml:space="preserve">Second, even in non-victim cases, all body worn camera video must be reviewed before disclosure.  A.R.S. § 41-1750(G) precludes the release of criminal history information, even in discovery under the criminal rules.  As a result, prosecutors or their staff must review all body worn camera video to make sure that no criminal history information is displayed on a terminal in either an officer’s vehicle or at a workstation.  This information is routinely shown on multiple body worn cameras during the booking process.  </w:t>
      </w:r>
    </w:p>
    <w:p w14:paraId="34B14266" w14:textId="0E7C8A09" w:rsidR="001803F6" w:rsidRDefault="001803F6" w:rsidP="001803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6"/>
          <w:szCs w:val="26"/>
        </w:rPr>
      </w:pPr>
      <w:r w:rsidRPr="00F7671B">
        <w:rPr>
          <w:kern w:val="2"/>
          <w:sz w:val="26"/>
          <w:szCs w:val="26"/>
        </w:rPr>
        <w:t xml:space="preserve">Several prosecution offices have tried solutions to make faster disclosure while still complying with A.R.S. § 13-4434 and A.R.S. § 41-1750(G).  One office made disclosure to the defense attorney under a protective order to not share identifying information with the defendant.  That practice stopped when the legislature amended A.R.S. § 13-4434 to specifically prohibit it.  Another office applies a light blur to all body worn camera video </w:t>
      </w:r>
      <w:r w:rsidRPr="00F7671B">
        <w:rPr>
          <w:kern w:val="2"/>
          <w:sz w:val="26"/>
          <w:szCs w:val="26"/>
        </w:rPr>
        <w:lastRenderedPageBreak/>
        <w:t>disclosed to prevent unlawful disclosure pursuant to A.R.S. § 41-1750(G).</w:t>
      </w:r>
      <w:r w:rsidRPr="00F7671B">
        <w:rPr>
          <w:rStyle w:val="FootnoteReference"/>
          <w:kern w:val="2"/>
          <w:sz w:val="26"/>
          <w:szCs w:val="26"/>
          <w:vertAlign w:val="superscript"/>
        </w:rPr>
        <w:footnoteReference w:id="1"/>
      </w:r>
      <w:r w:rsidRPr="00F7671B">
        <w:rPr>
          <w:kern w:val="2"/>
          <w:sz w:val="26"/>
          <w:szCs w:val="26"/>
        </w:rPr>
        <w:t xml:space="preserve">  There is no rule, however, that specifically allows this practice.  The agency that applies the light blur still provides a non-blurred, redacted version upon request to comply with the rules.  Disclosure in the modern era, then, is onerous, requiring hours of review to disclose almost any form of digital evidence.</w:t>
      </w:r>
      <w:r w:rsidR="008B63D3">
        <w:rPr>
          <w:kern w:val="2"/>
          <w:sz w:val="26"/>
          <w:szCs w:val="26"/>
        </w:rPr>
        <w:t xml:space="preserve">  The</w:t>
      </w:r>
      <w:r w:rsidR="00824E79">
        <w:rPr>
          <w:kern w:val="2"/>
          <w:sz w:val="26"/>
          <w:szCs w:val="26"/>
        </w:rPr>
        <w:t xml:space="preserve">re are </w:t>
      </w:r>
      <w:r w:rsidR="008B63D3">
        <w:rPr>
          <w:kern w:val="2"/>
          <w:sz w:val="26"/>
          <w:szCs w:val="26"/>
        </w:rPr>
        <w:t xml:space="preserve">significant resource-savings </w:t>
      </w:r>
      <w:r w:rsidR="00824E79">
        <w:rPr>
          <w:kern w:val="2"/>
          <w:sz w:val="26"/>
          <w:szCs w:val="26"/>
        </w:rPr>
        <w:t xml:space="preserve">if a case can be resolved before the disclosures required in Rule 15.1(b).  </w:t>
      </w:r>
    </w:p>
    <w:p w14:paraId="0F4D09B7" w14:textId="14E74E26" w:rsidR="001803F6" w:rsidRDefault="008B63D3" w:rsidP="001803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6"/>
          <w:szCs w:val="26"/>
        </w:rPr>
      </w:pPr>
      <w:r>
        <w:rPr>
          <w:kern w:val="2"/>
          <w:sz w:val="26"/>
          <w:szCs w:val="26"/>
        </w:rPr>
        <w:t>Furthermore, t</w:t>
      </w:r>
      <w:r w:rsidR="001803F6" w:rsidRPr="00F7671B">
        <w:rPr>
          <w:kern w:val="2"/>
          <w:sz w:val="26"/>
          <w:szCs w:val="26"/>
        </w:rPr>
        <w:t xml:space="preserve">he AACJ </w:t>
      </w:r>
      <w:r w:rsidR="006D0985">
        <w:rPr>
          <w:kern w:val="2"/>
          <w:sz w:val="26"/>
          <w:szCs w:val="26"/>
        </w:rPr>
        <w:t xml:space="preserve">alleges </w:t>
      </w:r>
      <w:r w:rsidR="001803F6" w:rsidRPr="00F7671B">
        <w:rPr>
          <w:kern w:val="2"/>
          <w:sz w:val="26"/>
          <w:szCs w:val="26"/>
        </w:rPr>
        <w:t>“the only option in these cases is often to reject the initial plea offer in order to move and [sic] the case out of the early disposition courts and obtain sufficient evidence to evaluate the case and any subsequent plea offer.”  [Petition at 6.]</w:t>
      </w:r>
      <w:r w:rsidR="001803F6">
        <w:rPr>
          <w:kern w:val="2"/>
          <w:sz w:val="26"/>
          <w:szCs w:val="26"/>
        </w:rPr>
        <w:t xml:space="preserve">  </w:t>
      </w:r>
      <w:r w:rsidR="001803F6" w:rsidRPr="00EF1AAC">
        <w:rPr>
          <w:kern w:val="2"/>
          <w:sz w:val="26"/>
          <w:szCs w:val="26"/>
        </w:rPr>
        <w:t xml:space="preserve">This </w:t>
      </w:r>
      <w:r w:rsidR="006D0985" w:rsidRPr="00EF1AAC">
        <w:rPr>
          <w:kern w:val="2"/>
          <w:sz w:val="26"/>
          <w:szCs w:val="26"/>
        </w:rPr>
        <w:t xml:space="preserve">allegation </w:t>
      </w:r>
      <w:r w:rsidR="001803F6" w:rsidRPr="00EF1AAC">
        <w:rPr>
          <w:kern w:val="2"/>
          <w:sz w:val="26"/>
          <w:szCs w:val="26"/>
        </w:rPr>
        <w:t>is not supported by facts</w:t>
      </w:r>
      <w:r w:rsidR="002B392F" w:rsidRPr="00EF1AAC">
        <w:rPr>
          <w:kern w:val="2"/>
          <w:sz w:val="26"/>
          <w:szCs w:val="26"/>
        </w:rPr>
        <w:t xml:space="preserve"> or data.  </w:t>
      </w:r>
      <w:r w:rsidR="001803F6" w:rsidRPr="00F7671B">
        <w:rPr>
          <w:kern w:val="2"/>
          <w:sz w:val="26"/>
          <w:szCs w:val="26"/>
        </w:rPr>
        <w:t xml:space="preserve">A review of </w:t>
      </w:r>
      <w:r w:rsidR="00EF1AAC">
        <w:rPr>
          <w:kern w:val="2"/>
          <w:sz w:val="26"/>
          <w:szCs w:val="26"/>
        </w:rPr>
        <w:t xml:space="preserve">MCAO’s data </w:t>
      </w:r>
      <w:r w:rsidR="001803F6" w:rsidRPr="00F7671B">
        <w:rPr>
          <w:kern w:val="2"/>
          <w:sz w:val="26"/>
          <w:szCs w:val="26"/>
        </w:rPr>
        <w:t xml:space="preserve">showed that of the cases </w:t>
      </w:r>
      <w:r w:rsidR="00824E79">
        <w:rPr>
          <w:kern w:val="2"/>
          <w:sz w:val="26"/>
          <w:szCs w:val="26"/>
        </w:rPr>
        <w:t xml:space="preserve">handled in </w:t>
      </w:r>
      <w:r w:rsidR="002B392F" w:rsidRPr="00EF1AAC">
        <w:rPr>
          <w:kern w:val="2"/>
          <w:sz w:val="26"/>
          <w:szCs w:val="26"/>
        </w:rPr>
        <w:t>Maricopa County</w:t>
      </w:r>
      <w:r w:rsidR="00EF1AAC">
        <w:rPr>
          <w:kern w:val="2"/>
          <w:sz w:val="26"/>
          <w:szCs w:val="26"/>
        </w:rPr>
        <w:t>’s</w:t>
      </w:r>
      <w:r w:rsidR="002B392F" w:rsidRPr="00EF1AAC">
        <w:rPr>
          <w:kern w:val="2"/>
          <w:sz w:val="26"/>
          <w:szCs w:val="26"/>
        </w:rPr>
        <w:t xml:space="preserve"> </w:t>
      </w:r>
      <w:r w:rsidR="001803F6" w:rsidRPr="00EF1AAC">
        <w:rPr>
          <w:kern w:val="2"/>
          <w:sz w:val="26"/>
          <w:szCs w:val="26"/>
        </w:rPr>
        <w:t>EDC</w:t>
      </w:r>
      <w:r w:rsidR="001803F6" w:rsidRPr="00F7671B">
        <w:rPr>
          <w:kern w:val="2"/>
          <w:sz w:val="26"/>
          <w:szCs w:val="26"/>
        </w:rPr>
        <w:t xml:space="preserve"> between July 1, 2021 and April 22, 2022</w:t>
      </w:r>
      <w:r w:rsidR="00BB743E">
        <w:rPr>
          <w:kern w:val="2"/>
          <w:sz w:val="26"/>
          <w:szCs w:val="26"/>
        </w:rPr>
        <w:t>,</w:t>
      </w:r>
      <w:r w:rsidR="00BB743E" w:rsidRPr="00F7671B">
        <w:rPr>
          <w:rStyle w:val="FootnoteReference"/>
          <w:kern w:val="2"/>
          <w:sz w:val="26"/>
          <w:szCs w:val="26"/>
          <w:vertAlign w:val="superscript"/>
        </w:rPr>
        <w:footnoteReference w:id="2"/>
      </w:r>
      <w:r w:rsidR="001803F6" w:rsidRPr="00F7671B">
        <w:rPr>
          <w:kern w:val="2"/>
          <w:sz w:val="26"/>
          <w:szCs w:val="26"/>
        </w:rPr>
        <w:t xml:space="preserve"> </w:t>
      </w:r>
      <w:r w:rsidR="001803F6">
        <w:rPr>
          <w:kern w:val="2"/>
          <w:sz w:val="26"/>
          <w:szCs w:val="26"/>
        </w:rPr>
        <w:t xml:space="preserve">76% to </w:t>
      </w:r>
      <w:r w:rsidR="001803F6" w:rsidRPr="00F7671B">
        <w:rPr>
          <w:kern w:val="2"/>
          <w:sz w:val="26"/>
          <w:szCs w:val="26"/>
        </w:rPr>
        <w:t>79%</w:t>
      </w:r>
      <w:r w:rsidR="001E1B5F" w:rsidRPr="004D06BD">
        <w:rPr>
          <w:rStyle w:val="FootnoteReference"/>
          <w:kern w:val="2"/>
          <w:sz w:val="26"/>
          <w:szCs w:val="26"/>
          <w:vertAlign w:val="superscript"/>
        </w:rPr>
        <w:footnoteReference w:id="3"/>
      </w:r>
      <w:r w:rsidR="001803F6" w:rsidRPr="00F7671B">
        <w:rPr>
          <w:kern w:val="2"/>
          <w:sz w:val="26"/>
          <w:szCs w:val="26"/>
        </w:rPr>
        <w:t xml:space="preserve"> were resolved before arraignment.  MCAO typically selects cases for the EDC that are more likely to resolve by plea</w:t>
      </w:r>
      <w:r w:rsidR="001803F6">
        <w:rPr>
          <w:kern w:val="2"/>
          <w:sz w:val="26"/>
          <w:szCs w:val="26"/>
        </w:rPr>
        <w:t>,</w:t>
      </w:r>
      <w:r w:rsidR="001803F6" w:rsidRPr="00F7671B">
        <w:rPr>
          <w:kern w:val="2"/>
          <w:sz w:val="26"/>
          <w:szCs w:val="26"/>
        </w:rPr>
        <w:t xml:space="preserve"> sending other types of cases directly to the grand jury.  However, during this timeframe grand jury panels in Maricopa County were greatly reduced</w:t>
      </w:r>
      <w:r w:rsidR="001803F6">
        <w:rPr>
          <w:kern w:val="2"/>
          <w:sz w:val="26"/>
          <w:szCs w:val="26"/>
        </w:rPr>
        <w:t xml:space="preserve"> </w:t>
      </w:r>
      <w:r w:rsidR="001803F6" w:rsidRPr="00F7671B">
        <w:rPr>
          <w:kern w:val="2"/>
          <w:sz w:val="26"/>
          <w:szCs w:val="26"/>
        </w:rPr>
        <w:t xml:space="preserve">due to COVID restrictions meaning cases that normally would not have been </w:t>
      </w:r>
      <w:r w:rsidR="001E1B5F">
        <w:rPr>
          <w:kern w:val="2"/>
          <w:sz w:val="26"/>
          <w:szCs w:val="26"/>
        </w:rPr>
        <w:t>selected for</w:t>
      </w:r>
      <w:r w:rsidR="001803F6" w:rsidRPr="00F7671B">
        <w:rPr>
          <w:kern w:val="2"/>
          <w:sz w:val="26"/>
          <w:szCs w:val="26"/>
        </w:rPr>
        <w:t xml:space="preserve"> </w:t>
      </w:r>
      <w:r w:rsidR="001803F6">
        <w:rPr>
          <w:kern w:val="2"/>
          <w:sz w:val="26"/>
          <w:szCs w:val="26"/>
        </w:rPr>
        <w:t xml:space="preserve">the </w:t>
      </w:r>
      <w:r w:rsidR="001803F6" w:rsidRPr="00F7671B">
        <w:rPr>
          <w:kern w:val="2"/>
          <w:sz w:val="26"/>
          <w:szCs w:val="26"/>
        </w:rPr>
        <w:t>EDC were sent there, undoubtedly leading to a lower resolution rate</w:t>
      </w:r>
      <w:r w:rsidR="001803F6">
        <w:rPr>
          <w:kern w:val="2"/>
          <w:sz w:val="26"/>
          <w:szCs w:val="26"/>
        </w:rPr>
        <w:t>s</w:t>
      </w:r>
      <w:r w:rsidR="001803F6" w:rsidRPr="00F7671B">
        <w:rPr>
          <w:kern w:val="2"/>
          <w:sz w:val="26"/>
          <w:szCs w:val="26"/>
        </w:rPr>
        <w:t xml:space="preserve"> than would have otherwise occurred.  Nevertheless, in this timeframe, the EDC in Maricopa County resolved </w:t>
      </w:r>
      <w:r w:rsidR="001803F6" w:rsidRPr="00F7671B">
        <w:rPr>
          <w:kern w:val="2"/>
          <w:sz w:val="26"/>
          <w:szCs w:val="26"/>
        </w:rPr>
        <w:lastRenderedPageBreak/>
        <w:t>approximately 1</w:t>
      </w:r>
      <w:r w:rsidR="001803F6">
        <w:rPr>
          <w:kern w:val="2"/>
          <w:sz w:val="26"/>
          <w:szCs w:val="26"/>
        </w:rPr>
        <w:t>0</w:t>
      </w:r>
      <w:r w:rsidR="001803F6" w:rsidRPr="00F7671B">
        <w:rPr>
          <w:kern w:val="2"/>
          <w:sz w:val="26"/>
          <w:szCs w:val="26"/>
        </w:rPr>
        <w:t>,</w:t>
      </w:r>
      <w:r w:rsidR="001803F6">
        <w:rPr>
          <w:kern w:val="2"/>
          <w:sz w:val="26"/>
          <w:szCs w:val="26"/>
        </w:rPr>
        <w:t>000</w:t>
      </w:r>
      <w:r w:rsidR="001803F6" w:rsidRPr="00F7671B">
        <w:rPr>
          <w:kern w:val="2"/>
          <w:sz w:val="26"/>
          <w:szCs w:val="26"/>
        </w:rPr>
        <w:t xml:space="preserve"> cases.</w:t>
      </w:r>
      <w:r w:rsidR="001803F6" w:rsidRPr="00F7671B">
        <w:rPr>
          <w:rStyle w:val="FootnoteReference"/>
          <w:kern w:val="2"/>
          <w:sz w:val="26"/>
          <w:szCs w:val="26"/>
          <w:vertAlign w:val="superscript"/>
        </w:rPr>
        <w:footnoteReference w:id="4"/>
      </w:r>
      <w:r w:rsidR="001803F6" w:rsidRPr="00F7671B">
        <w:rPr>
          <w:kern w:val="2"/>
          <w:sz w:val="26"/>
          <w:szCs w:val="26"/>
        </w:rPr>
        <w:t xml:space="preserve">  That is 1</w:t>
      </w:r>
      <w:r w:rsidR="001803F6">
        <w:rPr>
          <w:kern w:val="2"/>
          <w:sz w:val="26"/>
          <w:szCs w:val="26"/>
        </w:rPr>
        <w:t>0</w:t>
      </w:r>
      <w:r w:rsidR="001803F6" w:rsidRPr="00F7671B">
        <w:rPr>
          <w:kern w:val="2"/>
          <w:sz w:val="26"/>
          <w:szCs w:val="26"/>
        </w:rPr>
        <w:t>,000 felony cases that did not progress through the full criminal court system</w:t>
      </w:r>
      <w:r w:rsidR="00EF1AAC">
        <w:rPr>
          <w:kern w:val="2"/>
          <w:sz w:val="26"/>
          <w:szCs w:val="26"/>
        </w:rPr>
        <w:t>—</w:t>
      </w:r>
      <w:r w:rsidR="001803F6" w:rsidRPr="00F7671B">
        <w:rPr>
          <w:kern w:val="2"/>
          <w:sz w:val="26"/>
          <w:szCs w:val="26"/>
        </w:rPr>
        <w:t>a system that is already stretched thin.</w:t>
      </w:r>
      <w:r w:rsidR="001803F6">
        <w:rPr>
          <w:kern w:val="2"/>
          <w:sz w:val="26"/>
          <w:szCs w:val="26"/>
        </w:rPr>
        <w:t xml:space="preserve">  Contrary to the AACJ’s statement, the data shows that the “only option” in the vast majority of EDC cases is to resolve them.</w:t>
      </w:r>
    </w:p>
    <w:p w14:paraId="43DA08D4" w14:textId="68C601C6" w:rsidR="00B93705" w:rsidRPr="00F7671B" w:rsidRDefault="00B93705" w:rsidP="00B9370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6"/>
          <w:szCs w:val="26"/>
        </w:rPr>
      </w:pPr>
      <w:r>
        <w:rPr>
          <w:kern w:val="2"/>
          <w:sz w:val="26"/>
          <w:szCs w:val="26"/>
        </w:rPr>
        <w:t xml:space="preserve">The reason so many cases resolve in the EDC is not hard to understand: the defendant benefits from early resolution.  Defendants have the opportunity to receive more favorable pleas.  An in-custody defendant may have the opportunity to get out of custody sooner because EDC offers to resolve a case with probation can allow a defendant to quickly accept responsibility and get out of custody sooner and have the support of a probation officer.  Many defendants simply want to resolve their criminal matter as quickly as possible to start putting it behind them and move forward with their lives. </w:t>
      </w:r>
    </w:p>
    <w:p w14:paraId="13F65FE2" w14:textId="7E400756" w:rsidR="00ED7EC8" w:rsidRPr="00A24888" w:rsidRDefault="00ED7EC8" w:rsidP="00ED7EC8">
      <w:pPr>
        <w:pStyle w:val="ListParagraph"/>
        <w:numPr>
          <w:ilvl w:val="0"/>
          <w:numId w:val="2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hAnsi="Times New Roman"/>
          <w:b/>
          <w:bCs/>
          <w:kern w:val="2"/>
          <w:sz w:val="26"/>
          <w:szCs w:val="26"/>
        </w:rPr>
      </w:pPr>
      <w:r w:rsidRPr="00A24888">
        <w:rPr>
          <w:rFonts w:ascii="Times New Roman" w:hAnsi="Times New Roman"/>
          <w:b/>
          <w:bCs/>
          <w:kern w:val="2"/>
          <w:sz w:val="26"/>
          <w:szCs w:val="26"/>
        </w:rPr>
        <w:t>Modifying Rule 15.8 as requested would effectively end EDCs.</w:t>
      </w:r>
    </w:p>
    <w:p w14:paraId="796671E3" w14:textId="6A2C1736" w:rsidR="001803F6" w:rsidRDefault="001803F6" w:rsidP="001803F6">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30"/>
        <w:jc w:val="both"/>
        <w:rPr>
          <w:b/>
          <w:bCs/>
          <w:kern w:val="2"/>
          <w:sz w:val="26"/>
          <w:szCs w:val="26"/>
        </w:rPr>
      </w:pPr>
    </w:p>
    <w:p w14:paraId="2D462692" w14:textId="0D17DFEA" w:rsidR="008F2371" w:rsidRPr="00F7671B" w:rsidRDefault="00184153" w:rsidP="008F237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tab/>
      </w:r>
      <w:r w:rsidR="008A48D1">
        <w:rPr>
          <w:kern w:val="2"/>
          <w:sz w:val="26"/>
          <w:szCs w:val="26"/>
        </w:rPr>
        <w:t xml:space="preserve">Although the petition suggests that EDCs could somehow continue with the </w:t>
      </w:r>
      <w:r w:rsidR="007B0660">
        <w:rPr>
          <w:kern w:val="2"/>
          <w:sz w:val="26"/>
          <w:szCs w:val="26"/>
        </w:rPr>
        <w:t xml:space="preserve">proposed </w:t>
      </w:r>
      <w:r w:rsidR="008A48D1">
        <w:rPr>
          <w:kern w:val="2"/>
          <w:sz w:val="26"/>
          <w:szCs w:val="26"/>
        </w:rPr>
        <w:t>changes to Rule 15.8, it is difficult to understand how or why EDCs would be useful</w:t>
      </w:r>
      <w:r w:rsidR="0096534F">
        <w:rPr>
          <w:kern w:val="2"/>
          <w:sz w:val="26"/>
          <w:szCs w:val="26"/>
        </w:rPr>
        <w:t xml:space="preserve"> at that point.</w:t>
      </w:r>
      <w:r w:rsidR="008A48D1">
        <w:rPr>
          <w:kern w:val="2"/>
          <w:sz w:val="26"/>
          <w:szCs w:val="26"/>
        </w:rPr>
        <w:t xml:space="preserve">  </w:t>
      </w:r>
      <w:r w:rsidR="001803F6" w:rsidRPr="00F7671B">
        <w:rPr>
          <w:kern w:val="2"/>
          <w:sz w:val="26"/>
          <w:szCs w:val="26"/>
        </w:rPr>
        <w:t>The proposed amendment would, in many cases, make it nearly impossible for defendants to resolve their case quickly.</w:t>
      </w:r>
      <w:r w:rsidR="0096534F">
        <w:rPr>
          <w:kern w:val="2"/>
          <w:sz w:val="26"/>
          <w:szCs w:val="26"/>
        </w:rPr>
        <w:t xml:space="preserve">  </w:t>
      </w:r>
      <w:r w:rsidR="001803F6" w:rsidRPr="00F7671B">
        <w:rPr>
          <w:kern w:val="2"/>
          <w:sz w:val="26"/>
          <w:szCs w:val="26"/>
        </w:rPr>
        <w:t xml:space="preserve">If Rule 15.8 is amended, prosecutors are unlikely to make favorable offers pre-arraignment because, as a practical matter, they could not set any deadline on the offer until all discovery under Rule 15 is complete.  </w:t>
      </w:r>
      <w:r w:rsidR="008F2371" w:rsidRPr="00F7671B">
        <w:rPr>
          <w:kern w:val="2"/>
          <w:sz w:val="26"/>
          <w:szCs w:val="26"/>
        </w:rPr>
        <w:t xml:space="preserve">Rule 15.8(b), left </w:t>
      </w:r>
      <w:r w:rsidR="008F2371" w:rsidRPr="00F7671B">
        <w:rPr>
          <w:kern w:val="2"/>
          <w:sz w:val="26"/>
          <w:szCs w:val="26"/>
        </w:rPr>
        <w:lastRenderedPageBreak/>
        <w:t xml:space="preserve">unchanged by the AACJ proposal, allows sanctions if the State does not make </w:t>
      </w:r>
      <w:r w:rsidR="007B0660">
        <w:rPr>
          <w:kern w:val="2"/>
          <w:sz w:val="26"/>
          <w:szCs w:val="26"/>
        </w:rPr>
        <w:t xml:space="preserve">all the </w:t>
      </w:r>
      <w:r w:rsidR="008F2371" w:rsidRPr="00F7671B">
        <w:rPr>
          <w:kern w:val="2"/>
          <w:sz w:val="26"/>
          <w:szCs w:val="26"/>
        </w:rPr>
        <w:t xml:space="preserve">disclosures </w:t>
      </w:r>
      <w:r w:rsidR="007B0660">
        <w:rPr>
          <w:kern w:val="2"/>
          <w:sz w:val="26"/>
          <w:szCs w:val="26"/>
        </w:rPr>
        <w:t xml:space="preserve">required under Rule 15.1(b) </w:t>
      </w:r>
      <w:r w:rsidR="008F2371" w:rsidRPr="00F7671B">
        <w:rPr>
          <w:kern w:val="2"/>
          <w:sz w:val="26"/>
          <w:szCs w:val="26"/>
        </w:rPr>
        <w:t xml:space="preserve">more than 30 days before the offer expires.  </w:t>
      </w:r>
      <w:r w:rsidR="008F2371">
        <w:rPr>
          <w:kern w:val="2"/>
          <w:sz w:val="26"/>
          <w:szCs w:val="26"/>
        </w:rPr>
        <w:t xml:space="preserve">Because a preliminary hearing must be held 10 or 20 days after an initial appearance, the State could never make an offer that expired before the </w:t>
      </w:r>
      <w:r w:rsidR="007B0660">
        <w:rPr>
          <w:kern w:val="2"/>
          <w:sz w:val="26"/>
          <w:szCs w:val="26"/>
        </w:rPr>
        <w:t>preliminary hearing</w:t>
      </w:r>
      <w:r w:rsidR="008F2371">
        <w:rPr>
          <w:kern w:val="2"/>
          <w:sz w:val="26"/>
          <w:szCs w:val="26"/>
        </w:rPr>
        <w:t xml:space="preserve"> without violating Rule 15.8.  The only option is to either continue the preliminary hearing multiple times until all discovery is complete or conduct the preliminary hearing without ever offering the defendant the chan</w:t>
      </w:r>
      <w:r w:rsidR="00A12C21">
        <w:rPr>
          <w:kern w:val="2"/>
          <w:sz w:val="26"/>
          <w:szCs w:val="26"/>
        </w:rPr>
        <w:t>c</w:t>
      </w:r>
      <w:r w:rsidR="008F2371">
        <w:rPr>
          <w:kern w:val="2"/>
          <w:sz w:val="26"/>
          <w:szCs w:val="26"/>
        </w:rPr>
        <w:t>e to resolve the case.</w:t>
      </w:r>
    </w:p>
    <w:p w14:paraId="013B6C5C" w14:textId="25114BCB" w:rsidR="001803F6" w:rsidRPr="00F7671B" w:rsidRDefault="00E9595E" w:rsidP="001803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6"/>
          <w:szCs w:val="26"/>
        </w:rPr>
      </w:pPr>
      <w:r>
        <w:rPr>
          <w:kern w:val="2"/>
          <w:sz w:val="26"/>
          <w:szCs w:val="26"/>
        </w:rPr>
        <w:t>Either way, the State cannot make</w:t>
      </w:r>
      <w:r w:rsidR="00C12466">
        <w:rPr>
          <w:kern w:val="2"/>
          <w:sz w:val="26"/>
          <w:szCs w:val="26"/>
        </w:rPr>
        <w:t xml:space="preserve"> </w:t>
      </w:r>
      <w:r w:rsidR="00C647C4">
        <w:rPr>
          <w:kern w:val="2"/>
          <w:sz w:val="26"/>
          <w:szCs w:val="26"/>
        </w:rPr>
        <w:t>a</w:t>
      </w:r>
      <w:r w:rsidR="00C12466">
        <w:rPr>
          <w:kern w:val="2"/>
          <w:sz w:val="26"/>
          <w:szCs w:val="26"/>
        </w:rPr>
        <w:t>n offer</w:t>
      </w:r>
      <w:r>
        <w:rPr>
          <w:kern w:val="2"/>
          <w:sz w:val="26"/>
          <w:szCs w:val="26"/>
        </w:rPr>
        <w:t xml:space="preserve">, or at least </w:t>
      </w:r>
      <w:r w:rsidR="00A12C21">
        <w:rPr>
          <w:kern w:val="2"/>
          <w:sz w:val="26"/>
          <w:szCs w:val="26"/>
        </w:rPr>
        <w:t>cannot set a deadline on an</w:t>
      </w:r>
      <w:r>
        <w:rPr>
          <w:kern w:val="2"/>
          <w:sz w:val="26"/>
          <w:szCs w:val="26"/>
        </w:rPr>
        <w:t xml:space="preserve"> offer</w:t>
      </w:r>
      <w:r w:rsidR="00C12466">
        <w:rPr>
          <w:kern w:val="2"/>
          <w:sz w:val="26"/>
          <w:szCs w:val="26"/>
        </w:rPr>
        <w:t>,</w:t>
      </w:r>
      <w:r>
        <w:rPr>
          <w:kern w:val="2"/>
          <w:sz w:val="26"/>
          <w:szCs w:val="26"/>
        </w:rPr>
        <w:t xml:space="preserve"> until t</w:t>
      </w:r>
      <w:r w:rsidR="001803F6" w:rsidRPr="00F7671B">
        <w:rPr>
          <w:kern w:val="2"/>
          <w:sz w:val="26"/>
          <w:szCs w:val="26"/>
        </w:rPr>
        <w:t>he State has invested hours of resources into the case</w:t>
      </w:r>
      <w:r>
        <w:rPr>
          <w:kern w:val="2"/>
          <w:sz w:val="26"/>
          <w:szCs w:val="26"/>
        </w:rPr>
        <w:t xml:space="preserve"> and </w:t>
      </w:r>
      <w:r w:rsidR="001803F6" w:rsidRPr="00F7671B">
        <w:rPr>
          <w:kern w:val="2"/>
          <w:sz w:val="26"/>
          <w:szCs w:val="26"/>
        </w:rPr>
        <w:t>there is little incentive to provide as favorable an offer as a defendant could get today in an EDC.</w:t>
      </w:r>
      <w:r>
        <w:rPr>
          <w:kern w:val="2"/>
          <w:sz w:val="26"/>
          <w:szCs w:val="26"/>
        </w:rPr>
        <w:t xml:space="preserve">  </w:t>
      </w:r>
      <w:r w:rsidR="001803F6" w:rsidRPr="00F7671B">
        <w:rPr>
          <w:kern w:val="2"/>
          <w:sz w:val="26"/>
          <w:szCs w:val="26"/>
        </w:rPr>
        <w:t>This not only hurts those defendants wishing to begin their rehabilitative efforts</w:t>
      </w:r>
      <w:r w:rsidR="008A48D1">
        <w:rPr>
          <w:kern w:val="2"/>
          <w:sz w:val="26"/>
          <w:szCs w:val="26"/>
        </w:rPr>
        <w:t>,</w:t>
      </w:r>
      <w:r w:rsidR="001803F6" w:rsidRPr="00F7671B">
        <w:rPr>
          <w:kern w:val="2"/>
          <w:sz w:val="26"/>
          <w:szCs w:val="26"/>
        </w:rPr>
        <w:t xml:space="preserve"> but also adds to the congestion and backlog already plaguing the judicial system.  Requiring full disclosure under Rule 15 for all cases </w:t>
      </w:r>
      <w:r w:rsidR="001803F6">
        <w:rPr>
          <w:kern w:val="2"/>
          <w:sz w:val="26"/>
          <w:szCs w:val="26"/>
        </w:rPr>
        <w:t xml:space="preserve">before plea negotiations begin </w:t>
      </w:r>
      <w:r w:rsidR="001803F6" w:rsidRPr="00F7671B">
        <w:rPr>
          <w:kern w:val="2"/>
          <w:sz w:val="26"/>
          <w:szCs w:val="26"/>
        </w:rPr>
        <w:t>will also further backlog the prosecutor’s office creating more case delays across the system.</w:t>
      </w:r>
    </w:p>
    <w:p w14:paraId="53DC3C63" w14:textId="4B4FB6BE" w:rsidR="0096534F" w:rsidRPr="00F7671B" w:rsidRDefault="008A48D1" w:rsidP="00965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tab/>
      </w:r>
      <w:r w:rsidR="0096534F">
        <w:rPr>
          <w:kern w:val="2"/>
          <w:sz w:val="26"/>
          <w:szCs w:val="26"/>
        </w:rPr>
        <w:t>T</w:t>
      </w:r>
      <w:r w:rsidR="0096534F" w:rsidRPr="00F7671B">
        <w:rPr>
          <w:kern w:val="2"/>
          <w:sz w:val="26"/>
          <w:szCs w:val="26"/>
        </w:rPr>
        <w:t xml:space="preserve">he AAJC proposal </w:t>
      </w:r>
      <w:r w:rsidR="0096534F">
        <w:rPr>
          <w:kern w:val="2"/>
          <w:sz w:val="26"/>
          <w:szCs w:val="26"/>
        </w:rPr>
        <w:t>appears to imagine a situation where the State would make the same type of more lenient offer currently made in an EDC to encourage early resolution but would then do all the necessary work to gather and prepare all the discovery in the case, provide all of that to the defense, and then set a plea deadline of that original offer 30 days later.</w:t>
      </w:r>
      <w:r w:rsidR="00A24888">
        <w:rPr>
          <w:kern w:val="2"/>
          <w:sz w:val="26"/>
          <w:szCs w:val="26"/>
        </w:rPr>
        <w:t xml:space="preserve">  </w:t>
      </w:r>
      <w:r w:rsidR="0096534F">
        <w:rPr>
          <w:kern w:val="2"/>
          <w:sz w:val="26"/>
          <w:szCs w:val="26"/>
        </w:rPr>
        <w:t xml:space="preserve">The actual world the AACJ’s proposal will create is one where prosecutors either make a regular “trial offer” at the outset knowing that it cannot expire until all discovery is complete, or they will wait until discovery is complete and then make a “trial offer.”  The State will have little incentive to encourage a plea once the main resource-saving benefits of a plea agreement are </w:t>
      </w:r>
      <w:r w:rsidR="0096534F">
        <w:rPr>
          <w:kern w:val="2"/>
          <w:sz w:val="26"/>
          <w:szCs w:val="26"/>
        </w:rPr>
        <w:lastRenderedPageBreak/>
        <w:t>lost.  Presumably the State could also simply choose to never “extend[] a plea offer to a defendant” and avoid Rule 15.8</w:t>
      </w:r>
      <w:r w:rsidR="009E3BD4">
        <w:rPr>
          <w:kern w:val="2"/>
          <w:sz w:val="26"/>
          <w:szCs w:val="26"/>
        </w:rPr>
        <w:t xml:space="preserve"> in its entirety</w:t>
      </w:r>
      <w:r w:rsidR="0096534F">
        <w:rPr>
          <w:kern w:val="2"/>
          <w:sz w:val="26"/>
          <w:szCs w:val="26"/>
        </w:rPr>
        <w:t>, but it is difficult to understand how that system benefits anyone</w:t>
      </w:r>
      <w:r w:rsidR="00227B1D">
        <w:rPr>
          <w:kern w:val="2"/>
          <w:sz w:val="26"/>
          <w:szCs w:val="26"/>
        </w:rPr>
        <w:t xml:space="preserve"> </w:t>
      </w:r>
      <w:r w:rsidR="0096534F">
        <w:rPr>
          <w:kern w:val="2"/>
          <w:sz w:val="26"/>
          <w:szCs w:val="26"/>
        </w:rPr>
        <w:t xml:space="preserve">either.  </w:t>
      </w:r>
    </w:p>
    <w:p w14:paraId="12C2710C" w14:textId="1D488A9B" w:rsidR="00ED7EC8" w:rsidRPr="00F641BB" w:rsidRDefault="00CA78EE" w:rsidP="00A24888">
      <w:pPr>
        <w:pStyle w:val="ListParagraph"/>
        <w:numPr>
          <w:ilvl w:val="0"/>
          <w:numId w:val="2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rFonts w:ascii="Times New Roman" w:hAnsi="Times New Roman"/>
          <w:b/>
          <w:bCs/>
          <w:kern w:val="2"/>
          <w:sz w:val="26"/>
          <w:szCs w:val="26"/>
        </w:rPr>
      </w:pPr>
      <w:r w:rsidRPr="00F641BB">
        <w:rPr>
          <w:rFonts w:ascii="Times New Roman" w:hAnsi="Times New Roman"/>
          <w:b/>
          <w:bCs/>
          <w:kern w:val="2"/>
          <w:sz w:val="26"/>
          <w:szCs w:val="26"/>
        </w:rPr>
        <w:t>T</w:t>
      </w:r>
      <w:r w:rsidR="00ED7EC8" w:rsidRPr="00F641BB">
        <w:rPr>
          <w:rFonts w:ascii="Times New Roman" w:hAnsi="Times New Roman"/>
          <w:b/>
          <w:bCs/>
          <w:kern w:val="2"/>
          <w:sz w:val="26"/>
          <w:szCs w:val="26"/>
        </w:rPr>
        <w:t>he petition</w:t>
      </w:r>
      <w:r w:rsidRPr="00F641BB">
        <w:rPr>
          <w:rFonts w:ascii="Times New Roman" w:hAnsi="Times New Roman"/>
          <w:b/>
          <w:bCs/>
          <w:kern w:val="2"/>
          <w:sz w:val="26"/>
          <w:szCs w:val="26"/>
        </w:rPr>
        <w:t xml:space="preserve"> </w:t>
      </w:r>
      <w:r w:rsidR="00F641BB" w:rsidRPr="00F641BB">
        <w:rPr>
          <w:rFonts w:ascii="Times New Roman" w:hAnsi="Times New Roman"/>
          <w:b/>
          <w:bCs/>
          <w:kern w:val="2"/>
          <w:sz w:val="26"/>
          <w:szCs w:val="26"/>
        </w:rPr>
        <w:t>paints an inaccurate view of EDCs.</w:t>
      </w:r>
    </w:p>
    <w:p w14:paraId="0B65EF34" w14:textId="307A1E19" w:rsidR="00A876F9" w:rsidRDefault="00F641BB" w:rsidP="00A876F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tab/>
      </w:r>
      <w:r w:rsidR="00A876F9">
        <w:rPr>
          <w:kern w:val="2"/>
          <w:sz w:val="26"/>
          <w:szCs w:val="26"/>
        </w:rPr>
        <w:t xml:space="preserve">As discussed above, the AACJ underestimates the value of EDCs in terms of resolving criminal cases efficiently.  In addition, it also minimizes the information available to the defense at these settings.  Rule 15.1 was carefully constructed to create two separate disclosure periods.  The first, described in Rule 15.1(a), requires initial disclosures to the defense which must include all police reports the prosecutor had when the charging decision was made.  </w:t>
      </w:r>
      <w:r w:rsidR="00A876F9" w:rsidRPr="00C00416">
        <w:rPr>
          <w:smallCaps/>
          <w:kern w:val="2"/>
          <w:sz w:val="26"/>
          <w:szCs w:val="26"/>
        </w:rPr>
        <w:t>Ariz. R. Crim. P.</w:t>
      </w:r>
      <w:r w:rsidR="00A876F9">
        <w:rPr>
          <w:kern w:val="2"/>
          <w:sz w:val="26"/>
          <w:szCs w:val="26"/>
        </w:rPr>
        <w:t xml:space="preserve"> 15.1(a).  This is the discovery a defendant has today when their case is in an EDC.  Despite the requirement that disclosure be made only before the actual preliminary hearing, most often that discovery is provided earlier than required along with a plea offer.  The offer in the EDC expires if it is not accepted before a probable cause hearing.  But that does not mean, as the petition seems to suggest, that a defendant must make a decision the day they receive the offer.  </w:t>
      </w:r>
      <w:r w:rsidR="00227B1D">
        <w:rPr>
          <w:kern w:val="2"/>
          <w:sz w:val="26"/>
          <w:szCs w:val="26"/>
        </w:rPr>
        <w:t>While a defendant could accept a plea at the first setting, i</w:t>
      </w:r>
      <w:r w:rsidR="00A876F9">
        <w:rPr>
          <w:kern w:val="2"/>
          <w:sz w:val="26"/>
          <w:szCs w:val="26"/>
        </w:rPr>
        <w:t xml:space="preserve">n most cases, the defense continues the first setting to review the discovery provided and give the defendant the time to consider the offer.  More continuances frequently follow as the defense prepares mitigation material for the prosecutor to consider which usually also includes a counteroffer to resolve the case.  Even if the case is not continued, a defendant typically has a few days between the first status conference and the actual preliminary hearing to consider the offer.  </w:t>
      </w:r>
    </w:p>
    <w:p w14:paraId="609654F6" w14:textId="0F823299" w:rsidR="00A876F9" w:rsidRDefault="00A876F9" w:rsidP="00A876F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lastRenderedPageBreak/>
        <w:tab/>
        <w:t xml:space="preserve">In Maricopa County, at least, the case may stay in the EDC for several weeks or even a few months while the defense gathers mitigation and considers the case.   The State benefits by not having to invest hours into reviewing and redacting body worn camera and other evidence (much of which </w:t>
      </w:r>
      <w:r w:rsidR="00234EC8">
        <w:rPr>
          <w:kern w:val="2"/>
          <w:sz w:val="26"/>
          <w:szCs w:val="26"/>
        </w:rPr>
        <w:t xml:space="preserve">often </w:t>
      </w:r>
      <w:r>
        <w:rPr>
          <w:kern w:val="2"/>
          <w:sz w:val="26"/>
          <w:szCs w:val="26"/>
        </w:rPr>
        <w:t>has little probative value to the issues in the case), the defense benefits by being able to negotiate a favorable resolution, and the courts benefit by keeping cases off their regular trial dockets.  For all the reasons discussed above, this apparently simple deletion of 10 words in Rule 15.8 will end these benefits while adding little of practical value for the defense in most cases.  Indeed, they cite to no examples to support the need for this radical change to this Court’s thoughtfully crafted system of pre and post arraignment discovery.</w:t>
      </w:r>
    </w:p>
    <w:p w14:paraId="317D3D13" w14:textId="079EC4A3" w:rsidR="00F40E24" w:rsidRPr="00DA3EB0" w:rsidRDefault="00F40E24" w:rsidP="00DA3EB0">
      <w:pPr>
        <w:pStyle w:val="ListParagraph"/>
        <w:numPr>
          <w:ilvl w:val="0"/>
          <w:numId w:val="23"/>
        </w:numPr>
        <w:tabs>
          <w:tab w:val="left" w:pos="0"/>
          <w:tab w:val="left" w:pos="540"/>
          <w:tab w:val="left" w:pos="135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hanging="1080"/>
        <w:jc w:val="both"/>
        <w:rPr>
          <w:rFonts w:ascii="Times New Roman" w:hAnsi="Times New Roman"/>
          <w:b/>
          <w:bCs/>
          <w:kern w:val="2"/>
          <w:sz w:val="26"/>
          <w:szCs w:val="26"/>
        </w:rPr>
      </w:pPr>
      <w:r w:rsidRPr="00DA3EB0">
        <w:rPr>
          <w:rFonts w:ascii="Times New Roman" w:hAnsi="Times New Roman"/>
          <w:b/>
          <w:bCs/>
          <w:kern w:val="2"/>
          <w:sz w:val="26"/>
          <w:szCs w:val="26"/>
        </w:rPr>
        <w:t>C</w:t>
      </w:r>
      <w:r w:rsidR="00DA3EB0">
        <w:rPr>
          <w:rFonts w:ascii="Times New Roman" w:hAnsi="Times New Roman"/>
          <w:b/>
          <w:bCs/>
          <w:kern w:val="2"/>
          <w:sz w:val="26"/>
          <w:szCs w:val="26"/>
        </w:rPr>
        <w:t>ONCLUSION</w:t>
      </w:r>
      <w:r w:rsidR="00C00416" w:rsidRPr="00DA3EB0">
        <w:rPr>
          <w:rFonts w:ascii="Times New Roman" w:hAnsi="Times New Roman"/>
          <w:b/>
          <w:bCs/>
          <w:kern w:val="2"/>
          <w:sz w:val="26"/>
          <w:szCs w:val="26"/>
        </w:rPr>
        <w:tab/>
      </w:r>
    </w:p>
    <w:p w14:paraId="581F0716" w14:textId="747638BB" w:rsidR="00CA78EE" w:rsidRPr="00F40E24" w:rsidRDefault="00DA3EB0" w:rsidP="00DA3EB0">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b/>
          <w:bCs/>
          <w:kern w:val="2"/>
          <w:sz w:val="26"/>
          <w:szCs w:val="26"/>
        </w:rPr>
        <w:tab/>
      </w:r>
      <w:r w:rsidR="00F40E24">
        <w:rPr>
          <w:kern w:val="2"/>
          <w:sz w:val="26"/>
          <w:szCs w:val="26"/>
        </w:rPr>
        <w:t>Where they are used, EDCs provide systemwide benefits.  Rule 15 was carefully designed to allow the State and defendants to negotiate a case</w:t>
      </w:r>
      <w:r w:rsidR="00CA78EE" w:rsidRPr="00F40E24">
        <w:rPr>
          <w:b/>
          <w:bCs/>
          <w:kern w:val="2"/>
          <w:sz w:val="26"/>
          <w:szCs w:val="26"/>
        </w:rPr>
        <w:t xml:space="preserve"> </w:t>
      </w:r>
      <w:r w:rsidR="00F40E24">
        <w:rPr>
          <w:kern w:val="2"/>
          <w:sz w:val="26"/>
          <w:szCs w:val="26"/>
        </w:rPr>
        <w:t xml:space="preserve">before all the discovery work is complete.  Particularly considering the nature of the available evidence today and backlogs throughout our court systems, it is critical that appropriate cases be resolved as early as possible.  There is no question that some cases cannot reasonably be resolved before all the discovery is complete.  But for appropriate cases, having the ability to make more lenient offers in exchange for resource savings </w:t>
      </w:r>
      <w:r w:rsidR="00297E92">
        <w:rPr>
          <w:kern w:val="2"/>
          <w:sz w:val="26"/>
          <w:szCs w:val="26"/>
        </w:rPr>
        <w:t>is a benefit for everyone in the system.  The petition would effectively end these benefits and, for that reason, it should be denied.</w:t>
      </w:r>
    </w:p>
    <w:p w14:paraId="692CECC7" w14:textId="77777777" w:rsidR="0032785B" w:rsidRDefault="00F611D2" w:rsidP="009E3BD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tab/>
      </w:r>
    </w:p>
    <w:p w14:paraId="274470D8" w14:textId="77777777" w:rsidR="0032785B" w:rsidRDefault="0032785B">
      <w:pPr>
        <w:widowControl/>
        <w:rPr>
          <w:kern w:val="2"/>
          <w:sz w:val="26"/>
          <w:szCs w:val="26"/>
        </w:rPr>
      </w:pPr>
      <w:r>
        <w:rPr>
          <w:kern w:val="2"/>
          <w:sz w:val="26"/>
          <w:szCs w:val="26"/>
        </w:rPr>
        <w:br w:type="page"/>
      </w:r>
    </w:p>
    <w:p w14:paraId="1AA167BC" w14:textId="52B286A9" w:rsidR="006D3B9E" w:rsidRPr="00F7671B" w:rsidRDefault="0032785B" w:rsidP="009E3BD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6"/>
          <w:szCs w:val="26"/>
        </w:rPr>
      </w:pPr>
      <w:r>
        <w:rPr>
          <w:kern w:val="2"/>
          <w:sz w:val="26"/>
          <w:szCs w:val="26"/>
        </w:rPr>
        <w:lastRenderedPageBreak/>
        <w:tab/>
      </w:r>
      <w:r w:rsidR="006D3B9E" w:rsidRPr="00F7671B">
        <w:rPr>
          <w:kern w:val="2"/>
          <w:sz w:val="26"/>
          <w:szCs w:val="26"/>
        </w:rPr>
        <w:t xml:space="preserve">Respectfully submitted this </w:t>
      </w:r>
      <w:r w:rsidR="00E40CF6" w:rsidRPr="00E40CF6">
        <w:rPr>
          <w:kern w:val="2"/>
          <w:sz w:val="26"/>
          <w:szCs w:val="26"/>
          <w:u w:val="single"/>
        </w:rPr>
        <w:t>2</w:t>
      </w:r>
      <w:r w:rsidR="00E40CF6" w:rsidRPr="00E40CF6">
        <w:rPr>
          <w:kern w:val="2"/>
          <w:sz w:val="26"/>
          <w:szCs w:val="26"/>
          <w:u w:val="single"/>
          <w:vertAlign w:val="superscript"/>
        </w:rPr>
        <w:t>nd</w:t>
      </w:r>
      <w:r w:rsidR="00E40CF6">
        <w:rPr>
          <w:kern w:val="2"/>
          <w:sz w:val="26"/>
          <w:szCs w:val="26"/>
        </w:rPr>
        <w:t xml:space="preserve"> </w:t>
      </w:r>
      <w:r w:rsidR="006D3B9E" w:rsidRPr="00F7671B">
        <w:rPr>
          <w:kern w:val="2"/>
          <w:sz w:val="26"/>
          <w:szCs w:val="26"/>
        </w:rPr>
        <w:t>day of</w:t>
      </w:r>
      <w:r w:rsidR="0015700E" w:rsidRPr="00F7671B">
        <w:rPr>
          <w:kern w:val="2"/>
          <w:sz w:val="26"/>
          <w:szCs w:val="26"/>
        </w:rPr>
        <w:t xml:space="preserve"> </w:t>
      </w:r>
      <w:r w:rsidR="00043489" w:rsidRPr="00F7671B">
        <w:rPr>
          <w:kern w:val="2"/>
          <w:sz w:val="26"/>
          <w:szCs w:val="26"/>
        </w:rPr>
        <w:t>May 202</w:t>
      </w:r>
      <w:r w:rsidR="00CB0F14" w:rsidRPr="00F7671B">
        <w:rPr>
          <w:kern w:val="2"/>
          <w:sz w:val="26"/>
          <w:szCs w:val="26"/>
        </w:rPr>
        <w:t>2</w:t>
      </w:r>
      <w:r w:rsidR="006D3B9E" w:rsidRPr="00F7671B">
        <w:rPr>
          <w:kern w:val="2"/>
          <w:sz w:val="26"/>
          <w:szCs w:val="26"/>
        </w:rPr>
        <w:t>.</w:t>
      </w:r>
    </w:p>
    <w:p w14:paraId="294F9E82" w14:textId="510BD183" w:rsidR="00F7671B" w:rsidRDefault="00F7671B"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Rachel H. Mitchell</w:t>
      </w:r>
    </w:p>
    <w:p w14:paraId="75105D88" w14:textId="7329E553" w:rsidR="006D3B9E" w:rsidRPr="00240AD0"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Maricopa County Attorney</w:t>
      </w:r>
    </w:p>
    <w:p w14:paraId="0FE10E97" w14:textId="50ABC52B" w:rsidR="006D3B9E"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68B7D14B" w14:textId="5638E081" w:rsidR="00297E92" w:rsidRDefault="00E40CF6"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E5571F">
        <w:rPr>
          <w:rFonts w:cs="Arial"/>
          <w:noProof/>
          <w:sz w:val="20"/>
          <w:u w:val="single"/>
        </w:rPr>
        <w:drawing>
          <wp:anchor distT="0" distB="0" distL="114300" distR="114300" simplePos="0" relativeHeight="251659264" behindDoc="1" locked="0" layoutInCell="1" allowOverlap="1" wp14:anchorId="28A85B50" wp14:editId="41207CE1">
            <wp:simplePos x="0" y="0"/>
            <wp:positionH relativeFrom="column">
              <wp:posOffset>3188368</wp:posOffset>
            </wp:positionH>
            <wp:positionV relativeFrom="paragraph">
              <wp:posOffset>87596</wp:posOffset>
            </wp:positionV>
            <wp:extent cx="1600200" cy="390313"/>
            <wp:effectExtent l="0" t="0" r="0" b="0"/>
            <wp:wrapNone/>
            <wp:docPr id="4" name="Picture 4" descr="A picture containing insect, lawn mower&#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insect, lawn mow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0200" cy="390313"/>
                    </a:xfrm>
                    <a:prstGeom prst="rect">
                      <a:avLst/>
                    </a:prstGeom>
                  </pic:spPr>
                </pic:pic>
              </a:graphicData>
            </a:graphic>
            <wp14:sizeRelH relativeFrom="margin">
              <wp14:pctWidth>0</wp14:pctWidth>
            </wp14:sizeRelH>
            <wp14:sizeRelV relativeFrom="margin">
              <wp14:pctHeight>0</wp14:pctHeight>
            </wp14:sizeRelV>
          </wp:anchor>
        </w:drawing>
      </w:r>
    </w:p>
    <w:p w14:paraId="670221D0" w14:textId="593DB96E" w:rsidR="00297E92" w:rsidRDefault="00297E92"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47F964C9" w14:textId="4C461B68" w:rsidR="002D22F7" w:rsidRPr="0080485A" w:rsidRDefault="002D22F7" w:rsidP="002E35D3">
      <w:pPr>
        <w:keepLines/>
        <w:ind w:left="3600" w:firstLine="720"/>
        <w:jc w:val="both"/>
        <w:rPr>
          <w:rFonts w:cs="Arial"/>
          <w:szCs w:val="24"/>
        </w:rPr>
      </w:pPr>
      <w:r w:rsidRPr="002D22F7">
        <w:rPr>
          <w:rFonts w:cs="Arial"/>
          <w:sz w:val="28"/>
          <w:szCs w:val="28"/>
        </w:rPr>
        <w:t>By</w:t>
      </w:r>
      <w:r w:rsidR="00E40CF6">
        <w:rPr>
          <w:rFonts w:cs="Arial"/>
          <w:sz w:val="28"/>
          <w:szCs w:val="28"/>
        </w:rPr>
        <w:t xml:space="preserve"> /s/</w:t>
      </w:r>
      <w:r w:rsidRPr="00E40CF6">
        <w:rPr>
          <w:rFonts w:cs="Arial"/>
          <w:szCs w:val="24"/>
          <w:u w:val="single"/>
        </w:rPr>
        <w:t>______________________</w:t>
      </w:r>
    </w:p>
    <w:p w14:paraId="459C5A1F" w14:textId="79572FA0" w:rsidR="006D3B9E"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E40CF6">
        <w:rPr>
          <w:smallCaps/>
          <w:kern w:val="2"/>
          <w:sz w:val="28"/>
          <w:szCs w:val="28"/>
        </w:rPr>
        <w:t xml:space="preserve">  </w:t>
      </w:r>
      <w:r w:rsidR="00043489">
        <w:rPr>
          <w:smallCaps/>
          <w:kern w:val="2"/>
          <w:sz w:val="28"/>
          <w:szCs w:val="28"/>
        </w:rPr>
        <w:t>Kenneth N. Vick</w:t>
      </w:r>
    </w:p>
    <w:p w14:paraId="1A3A2EB5" w14:textId="282D084D" w:rsidR="000356B6"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E40CF6">
        <w:rPr>
          <w:smallCaps/>
          <w:kern w:val="2"/>
          <w:sz w:val="28"/>
          <w:szCs w:val="28"/>
        </w:rPr>
        <w:t xml:space="preserve">  </w:t>
      </w:r>
      <w:r w:rsidR="00C83859">
        <w:rPr>
          <w:smallCaps/>
          <w:kern w:val="2"/>
          <w:sz w:val="28"/>
          <w:szCs w:val="28"/>
        </w:rPr>
        <w:t>Chief Deputy</w:t>
      </w:r>
    </w:p>
    <w:p w14:paraId="451E8841" w14:textId="77777777" w:rsidR="00413518" w:rsidRDefault="0041351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5CD90FF4" w14:textId="77777777" w:rsidR="00B91788" w:rsidRPr="002D22F7" w:rsidRDefault="00B9178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sectPr w:rsidR="00B91788" w:rsidRPr="002D22F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CFB7" w14:textId="77777777" w:rsidR="00A93156" w:rsidRDefault="00A93156">
      <w:r>
        <w:separator/>
      </w:r>
    </w:p>
  </w:endnote>
  <w:endnote w:type="continuationSeparator" w:id="0">
    <w:p w14:paraId="0D82FBB7" w14:textId="77777777" w:rsidR="00A93156" w:rsidRDefault="00A9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BC94" w14:textId="77777777" w:rsidR="00536DC7" w:rsidRDefault="00536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F7E3" w14:textId="77777777" w:rsidR="00714098" w:rsidRDefault="00714098">
    <w:pPr>
      <w:spacing w:line="240" w:lineRule="exact"/>
    </w:pPr>
  </w:p>
  <w:p w14:paraId="3E456F0B" w14:textId="77777777" w:rsidR="00714098" w:rsidRPr="00234EC8" w:rsidRDefault="00714098">
    <w:pPr>
      <w:framePr w:w="9937" w:wrap="notBeside" w:vAnchor="text" w:hAnchor="text" w:x="1" w:y="1"/>
      <w:jc w:val="center"/>
      <w:rPr>
        <w:sz w:val="26"/>
        <w:szCs w:val="26"/>
      </w:rPr>
    </w:pPr>
    <w:r w:rsidRPr="00234EC8">
      <w:rPr>
        <w:sz w:val="26"/>
        <w:szCs w:val="26"/>
      </w:rPr>
      <w:fldChar w:fldCharType="begin"/>
    </w:r>
    <w:r w:rsidRPr="00234EC8">
      <w:rPr>
        <w:sz w:val="26"/>
        <w:szCs w:val="26"/>
      </w:rPr>
      <w:instrText xml:space="preserve">PAGE </w:instrText>
    </w:r>
    <w:r w:rsidRPr="00234EC8">
      <w:rPr>
        <w:sz w:val="26"/>
        <w:szCs w:val="26"/>
      </w:rPr>
      <w:fldChar w:fldCharType="separate"/>
    </w:r>
    <w:r w:rsidR="00220F5E" w:rsidRPr="00234EC8">
      <w:rPr>
        <w:noProof/>
        <w:sz w:val="26"/>
        <w:szCs w:val="26"/>
      </w:rPr>
      <w:t>2</w:t>
    </w:r>
    <w:r w:rsidRPr="00234EC8">
      <w:rPr>
        <w:sz w:val="26"/>
        <w:szCs w:val="26"/>
      </w:rPr>
      <w:fldChar w:fldCharType="end"/>
    </w:r>
  </w:p>
  <w:p w14:paraId="08C1DFF4" w14:textId="77777777"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D387" w14:textId="77777777" w:rsidR="00536DC7" w:rsidRDefault="00536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BA75E" w14:textId="77777777" w:rsidR="00A93156" w:rsidRDefault="00A93156">
      <w:r>
        <w:separator/>
      </w:r>
    </w:p>
  </w:footnote>
  <w:footnote w:type="continuationSeparator" w:id="0">
    <w:p w14:paraId="176A5F08" w14:textId="77777777" w:rsidR="00A93156" w:rsidRDefault="00A93156">
      <w:r>
        <w:continuationSeparator/>
      </w:r>
    </w:p>
  </w:footnote>
  <w:footnote w:id="1">
    <w:p w14:paraId="4E3AF087" w14:textId="3C359E6A" w:rsidR="001803F6" w:rsidRPr="00A24888" w:rsidRDefault="001803F6" w:rsidP="001803F6">
      <w:pPr>
        <w:pStyle w:val="FootnoteText"/>
        <w:jc w:val="both"/>
        <w:rPr>
          <w:sz w:val="26"/>
          <w:szCs w:val="26"/>
        </w:rPr>
      </w:pPr>
      <w:r w:rsidRPr="00A24888">
        <w:rPr>
          <w:rStyle w:val="FootnoteReference"/>
          <w:sz w:val="26"/>
          <w:szCs w:val="26"/>
          <w:vertAlign w:val="superscript"/>
        </w:rPr>
        <w:footnoteRef/>
      </w:r>
      <w:r w:rsidRPr="00A24888">
        <w:rPr>
          <w:sz w:val="26"/>
          <w:szCs w:val="26"/>
          <w:vertAlign w:val="superscript"/>
        </w:rPr>
        <w:t xml:space="preserve">  </w:t>
      </w:r>
      <w:r w:rsidR="00BB743E">
        <w:rPr>
          <w:sz w:val="26"/>
          <w:szCs w:val="26"/>
        </w:rPr>
        <w:t>MCAO</w:t>
      </w:r>
      <w:r w:rsidRPr="00A24888">
        <w:rPr>
          <w:sz w:val="26"/>
          <w:szCs w:val="26"/>
        </w:rPr>
        <w:t xml:space="preserve"> is conducting a pilot project to do the same at pre-arraignment courts.  However, even if the pilot is successful, such a practice would not strictly comply with Rule 15.2, and under the proposed change to Rule 15.8, could result in sanctions under Rule 15.8(b).  </w:t>
      </w:r>
    </w:p>
  </w:footnote>
  <w:footnote w:id="2">
    <w:p w14:paraId="3D896F8C" w14:textId="77777777" w:rsidR="00BB743E" w:rsidRPr="00A24888" w:rsidRDefault="00BB743E" w:rsidP="00BB743E">
      <w:pPr>
        <w:pStyle w:val="FootnoteText"/>
        <w:jc w:val="both"/>
        <w:rPr>
          <w:sz w:val="26"/>
          <w:szCs w:val="26"/>
        </w:rPr>
      </w:pPr>
      <w:r w:rsidRPr="00A24888">
        <w:rPr>
          <w:rStyle w:val="FootnoteReference"/>
          <w:sz w:val="26"/>
          <w:szCs w:val="26"/>
          <w:vertAlign w:val="superscript"/>
        </w:rPr>
        <w:footnoteRef/>
      </w:r>
      <w:r w:rsidRPr="00A24888">
        <w:rPr>
          <w:sz w:val="26"/>
          <w:szCs w:val="26"/>
        </w:rPr>
        <w:t xml:space="preserve"> </w:t>
      </w:r>
      <w:r>
        <w:rPr>
          <w:sz w:val="26"/>
          <w:szCs w:val="26"/>
        </w:rPr>
        <w:t>This</w:t>
      </w:r>
      <w:r w:rsidRPr="00A24888">
        <w:rPr>
          <w:sz w:val="26"/>
          <w:szCs w:val="26"/>
        </w:rPr>
        <w:t xml:space="preserve"> includes cases that began in the EDC and were ultimately dismissed, resolved by plea, sent to diversion, were held to answer by preliminary hearing or straight waiver.  It does not include cases that went to Rule 11 proceedings or cases where a bench warrant was issued </w:t>
      </w:r>
      <w:r>
        <w:rPr>
          <w:sz w:val="26"/>
          <w:szCs w:val="26"/>
        </w:rPr>
        <w:t xml:space="preserve">in the EDC </w:t>
      </w:r>
      <w:r w:rsidRPr="00A24888">
        <w:rPr>
          <w:sz w:val="26"/>
          <w:szCs w:val="26"/>
        </w:rPr>
        <w:t xml:space="preserve">and </w:t>
      </w:r>
      <w:r>
        <w:rPr>
          <w:sz w:val="26"/>
          <w:szCs w:val="26"/>
        </w:rPr>
        <w:t xml:space="preserve">the case was still in the EDC on </w:t>
      </w:r>
      <w:r w:rsidRPr="00A24888">
        <w:rPr>
          <w:sz w:val="26"/>
          <w:szCs w:val="26"/>
        </w:rPr>
        <w:t>April 22.</w:t>
      </w:r>
    </w:p>
  </w:footnote>
  <w:footnote w:id="3">
    <w:p w14:paraId="1423C194" w14:textId="77777777" w:rsidR="001E1B5F" w:rsidRPr="004D06BD" w:rsidRDefault="001E1B5F" w:rsidP="001E1B5F">
      <w:pPr>
        <w:pStyle w:val="FootnoteText"/>
        <w:jc w:val="both"/>
        <w:rPr>
          <w:sz w:val="26"/>
          <w:szCs w:val="26"/>
        </w:rPr>
      </w:pPr>
      <w:r w:rsidRPr="00A24888">
        <w:rPr>
          <w:rStyle w:val="FootnoteReference"/>
          <w:sz w:val="26"/>
          <w:szCs w:val="26"/>
          <w:vertAlign w:val="superscript"/>
        </w:rPr>
        <w:footnoteRef/>
      </w:r>
      <w:r w:rsidRPr="00A24888">
        <w:rPr>
          <w:sz w:val="26"/>
          <w:szCs w:val="26"/>
        </w:rPr>
        <w:t xml:space="preserve"> A range</w:t>
      </w:r>
      <w:r w:rsidRPr="004D06BD">
        <w:rPr>
          <w:sz w:val="26"/>
          <w:szCs w:val="26"/>
        </w:rPr>
        <w:t xml:space="preserve"> is provided to account for the possibility of double counting cases as explained in fn. 4.</w:t>
      </w:r>
    </w:p>
  </w:footnote>
  <w:footnote w:id="4">
    <w:p w14:paraId="21B0802B" w14:textId="075007A8" w:rsidR="001803F6" w:rsidRDefault="001803F6" w:rsidP="001803F6">
      <w:pPr>
        <w:pStyle w:val="FootnoteText"/>
        <w:jc w:val="both"/>
      </w:pPr>
      <w:r w:rsidRPr="00FB22DE">
        <w:rPr>
          <w:rStyle w:val="FootnoteReference"/>
          <w:sz w:val="26"/>
          <w:szCs w:val="26"/>
          <w:vertAlign w:val="superscript"/>
        </w:rPr>
        <w:footnoteRef/>
      </w:r>
      <w:r>
        <w:t xml:space="preserve"> </w:t>
      </w:r>
      <w:r w:rsidRPr="00F7671B">
        <w:rPr>
          <w:sz w:val="26"/>
          <w:szCs w:val="26"/>
        </w:rPr>
        <w:t xml:space="preserve">This includes dismissals, misdemeanor pleas, felony pleas, and defendants entering diversion.  </w:t>
      </w:r>
      <w:r>
        <w:rPr>
          <w:sz w:val="26"/>
          <w:szCs w:val="26"/>
        </w:rPr>
        <w:t xml:space="preserve">MCAO data counts events not individual case numbers so it </w:t>
      </w:r>
      <w:r w:rsidRPr="00F7671B">
        <w:rPr>
          <w:sz w:val="26"/>
          <w:szCs w:val="26"/>
        </w:rPr>
        <w:t xml:space="preserve">is possible that </w:t>
      </w:r>
      <w:r>
        <w:rPr>
          <w:sz w:val="26"/>
          <w:szCs w:val="26"/>
        </w:rPr>
        <w:t xml:space="preserve">a case could be counted twice if the defendant accepted diversion but did not successfully complete it and then entered a guilty plea in the EDC.  That case would be counted as a diversion event and a plea event if both occurred within this timeframe.  For that reason, this figure is presented as an approximation, but the actual number of resolution events </w:t>
      </w:r>
      <w:r w:rsidR="007B0660">
        <w:rPr>
          <w:sz w:val="26"/>
          <w:szCs w:val="26"/>
        </w:rPr>
        <w:t xml:space="preserve">in this timeframe </w:t>
      </w:r>
      <w:r>
        <w:rPr>
          <w:sz w:val="26"/>
          <w:szCs w:val="26"/>
        </w:rPr>
        <w:t>is 11,241.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FE1A" w14:textId="77777777" w:rsidR="00536DC7" w:rsidRDefault="00536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9530" w14:textId="77777777"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7E3A5D43" wp14:editId="2018C2FC">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8179"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70FD09E5" wp14:editId="367199EB">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6EE16"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3F2A8C6F" wp14:editId="5E5A63C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9AA5"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14:paraId="21CC3EC9" w14:textId="77777777" w:rsidR="00714098" w:rsidRDefault="00714098">
    <w:pPr>
      <w:tabs>
        <w:tab w:val="right" w:pos="-288"/>
      </w:tabs>
      <w:spacing w:line="240" w:lineRule="exact"/>
      <w:ind w:left="-720" w:right="576"/>
      <w:jc w:val="both"/>
      <w:rPr>
        <w:rFonts w:ascii="Humanst521 Lt BT" w:hAnsi="Humanst521 Lt BT"/>
        <w:b/>
      </w:rPr>
    </w:pPr>
  </w:p>
  <w:p w14:paraId="3391718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6DBCE69C" w14:textId="77777777" w:rsidR="00714098" w:rsidRDefault="00714098">
    <w:pPr>
      <w:tabs>
        <w:tab w:val="right" w:pos="-288"/>
      </w:tabs>
      <w:spacing w:line="240" w:lineRule="exact"/>
      <w:ind w:left="-720" w:right="576"/>
      <w:jc w:val="both"/>
      <w:rPr>
        <w:rFonts w:ascii="Humanst521 Lt BT" w:hAnsi="Humanst521 Lt BT"/>
        <w:b/>
      </w:rPr>
    </w:pPr>
  </w:p>
  <w:p w14:paraId="02E7F31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1764D1E2" w14:textId="77777777" w:rsidR="00714098" w:rsidRDefault="00714098">
    <w:pPr>
      <w:tabs>
        <w:tab w:val="right" w:pos="-288"/>
      </w:tabs>
      <w:spacing w:line="240" w:lineRule="exact"/>
      <w:ind w:left="-720" w:right="576"/>
      <w:jc w:val="both"/>
      <w:rPr>
        <w:rFonts w:ascii="Humanst521 Lt BT" w:hAnsi="Humanst521 Lt BT"/>
        <w:b/>
      </w:rPr>
    </w:pPr>
  </w:p>
  <w:p w14:paraId="11D4848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20EBF23A" w14:textId="77777777" w:rsidR="00714098" w:rsidRDefault="00714098">
    <w:pPr>
      <w:tabs>
        <w:tab w:val="right" w:pos="-288"/>
      </w:tabs>
      <w:spacing w:line="240" w:lineRule="exact"/>
      <w:ind w:left="-720" w:right="576"/>
      <w:jc w:val="both"/>
      <w:rPr>
        <w:rFonts w:ascii="Humanst521 Lt BT" w:hAnsi="Humanst521 Lt BT"/>
        <w:b/>
      </w:rPr>
    </w:pPr>
  </w:p>
  <w:p w14:paraId="16B858B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393110F2" w14:textId="77777777" w:rsidR="00714098" w:rsidRDefault="00714098">
    <w:pPr>
      <w:tabs>
        <w:tab w:val="right" w:pos="-288"/>
      </w:tabs>
      <w:spacing w:line="240" w:lineRule="exact"/>
      <w:ind w:left="-720" w:right="576"/>
      <w:jc w:val="both"/>
      <w:rPr>
        <w:rFonts w:ascii="Humanst521 Lt BT" w:hAnsi="Humanst521 Lt BT"/>
        <w:b/>
      </w:rPr>
    </w:pPr>
  </w:p>
  <w:p w14:paraId="2A63D5E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312BFE9" w14:textId="77777777" w:rsidR="00714098" w:rsidRDefault="00714098">
    <w:pPr>
      <w:tabs>
        <w:tab w:val="right" w:pos="-288"/>
      </w:tabs>
      <w:spacing w:line="240" w:lineRule="exact"/>
      <w:ind w:left="-720" w:right="576"/>
      <w:jc w:val="both"/>
      <w:rPr>
        <w:rFonts w:ascii="Humanst521 Lt BT" w:hAnsi="Humanst521 Lt BT"/>
        <w:b/>
      </w:rPr>
    </w:pPr>
  </w:p>
  <w:p w14:paraId="11592D2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252707E4" w14:textId="77777777" w:rsidR="00714098" w:rsidRDefault="00714098">
    <w:pPr>
      <w:tabs>
        <w:tab w:val="right" w:pos="-288"/>
      </w:tabs>
      <w:spacing w:line="240" w:lineRule="exact"/>
      <w:ind w:left="-720" w:right="576"/>
      <w:jc w:val="both"/>
      <w:rPr>
        <w:rFonts w:ascii="Humanst521 Lt BT" w:hAnsi="Humanst521 Lt BT"/>
        <w:b/>
      </w:rPr>
    </w:pPr>
  </w:p>
  <w:p w14:paraId="656688E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299FB06F" w14:textId="77777777" w:rsidR="00714098" w:rsidRDefault="00714098">
    <w:pPr>
      <w:tabs>
        <w:tab w:val="right" w:pos="-288"/>
      </w:tabs>
      <w:spacing w:line="240" w:lineRule="exact"/>
      <w:ind w:left="-720" w:right="576"/>
      <w:jc w:val="both"/>
      <w:rPr>
        <w:rFonts w:ascii="Humanst521 Lt BT" w:hAnsi="Humanst521 Lt BT"/>
        <w:b/>
      </w:rPr>
    </w:pPr>
  </w:p>
  <w:p w14:paraId="6E405EF9"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36886FB1" w14:textId="77777777" w:rsidR="00714098" w:rsidRDefault="00714098">
    <w:pPr>
      <w:tabs>
        <w:tab w:val="right" w:pos="-288"/>
      </w:tabs>
      <w:spacing w:line="240" w:lineRule="exact"/>
      <w:ind w:left="-720" w:right="576"/>
      <w:jc w:val="both"/>
      <w:rPr>
        <w:rFonts w:ascii="Humanst521 Lt BT" w:hAnsi="Humanst521 Lt BT"/>
        <w:b/>
      </w:rPr>
    </w:pPr>
  </w:p>
  <w:p w14:paraId="2B31AF3F"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2C1CC47A" w14:textId="77777777" w:rsidR="00714098" w:rsidRDefault="00714098">
    <w:pPr>
      <w:tabs>
        <w:tab w:val="right" w:pos="-288"/>
      </w:tabs>
      <w:spacing w:line="240" w:lineRule="exact"/>
      <w:ind w:left="-720" w:right="576"/>
      <w:jc w:val="both"/>
      <w:rPr>
        <w:rFonts w:ascii="Humanst521 Lt BT" w:hAnsi="Humanst521 Lt BT"/>
        <w:b/>
      </w:rPr>
    </w:pPr>
  </w:p>
  <w:p w14:paraId="66AA45D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2D4590C3" w14:textId="77777777" w:rsidR="00714098" w:rsidRDefault="00714098">
    <w:pPr>
      <w:tabs>
        <w:tab w:val="right" w:pos="-288"/>
      </w:tabs>
      <w:spacing w:line="240" w:lineRule="exact"/>
      <w:ind w:left="-720" w:right="576"/>
      <w:jc w:val="both"/>
      <w:rPr>
        <w:rFonts w:ascii="Humanst521 Lt BT" w:hAnsi="Humanst521 Lt BT"/>
        <w:b/>
      </w:rPr>
    </w:pPr>
  </w:p>
  <w:p w14:paraId="60CF4BE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0B9FA634" w14:textId="77777777" w:rsidR="00714098" w:rsidRDefault="00714098">
    <w:pPr>
      <w:tabs>
        <w:tab w:val="right" w:pos="-288"/>
      </w:tabs>
      <w:spacing w:line="240" w:lineRule="exact"/>
      <w:ind w:left="-720" w:right="576"/>
      <w:jc w:val="both"/>
      <w:rPr>
        <w:rFonts w:ascii="Humanst521 Lt BT" w:hAnsi="Humanst521 Lt BT"/>
        <w:b/>
      </w:rPr>
    </w:pPr>
  </w:p>
  <w:p w14:paraId="06B7BEB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21CDB5B" w14:textId="77777777" w:rsidR="00714098" w:rsidRDefault="00714098">
    <w:pPr>
      <w:tabs>
        <w:tab w:val="right" w:pos="-288"/>
      </w:tabs>
      <w:spacing w:line="240" w:lineRule="exact"/>
      <w:ind w:left="-720" w:right="576"/>
      <w:jc w:val="both"/>
      <w:rPr>
        <w:rFonts w:ascii="Humanst521 Lt BT" w:hAnsi="Humanst521 Lt BT"/>
        <w:b/>
      </w:rPr>
    </w:pPr>
  </w:p>
  <w:p w14:paraId="3818209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10A6A489" w14:textId="77777777" w:rsidR="00714098" w:rsidRDefault="00714098">
    <w:pPr>
      <w:tabs>
        <w:tab w:val="right" w:pos="-288"/>
      </w:tabs>
      <w:spacing w:line="240" w:lineRule="exact"/>
      <w:ind w:left="-720" w:right="576"/>
      <w:jc w:val="both"/>
      <w:rPr>
        <w:rFonts w:ascii="Humanst521 Lt BT" w:hAnsi="Humanst521 Lt BT"/>
        <w:b/>
      </w:rPr>
    </w:pPr>
  </w:p>
  <w:p w14:paraId="6402DC48"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CC99F0E" w14:textId="77777777" w:rsidR="00714098" w:rsidRDefault="00714098">
    <w:pPr>
      <w:tabs>
        <w:tab w:val="right" w:pos="-288"/>
      </w:tabs>
      <w:spacing w:line="240" w:lineRule="exact"/>
      <w:ind w:left="-720" w:right="576"/>
      <w:jc w:val="both"/>
      <w:rPr>
        <w:rFonts w:ascii="Humanst521 Lt BT" w:hAnsi="Humanst521 Lt BT"/>
        <w:b/>
      </w:rPr>
    </w:pPr>
  </w:p>
  <w:p w14:paraId="3DE7C15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7EF0031C" w14:textId="77777777" w:rsidR="00714098" w:rsidRDefault="00714098">
    <w:pPr>
      <w:tabs>
        <w:tab w:val="right" w:pos="-288"/>
      </w:tabs>
      <w:spacing w:line="240" w:lineRule="exact"/>
      <w:ind w:left="-720" w:right="576"/>
      <w:jc w:val="both"/>
      <w:rPr>
        <w:rFonts w:ascii="Humanst521 Lt BT" w:hAnsi="Humanst521 Lt BT"/>
        <w:b/>
      </w:rPr>
    </w:pPr>
  </w:p>
  <w:p w14:paraId="58B43C5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157B9021" w14:textId="77777777" w:rsidR="00714098" w:rsidRDefault="00714098">
    <w:pPr>
      <w:tabs>
        <w:tab w:val="right" w:pos="-288"/>
      </w:tabs>
      <w:spacing w:line="240" w:lineRule="exact"/>
      <w:ind w:left="-720" w:right="576"/>
      <w:jc w:val="both"/>
      <w:rPr>
        <w:rFonts w:ascii="Humanst521 Lt BT" w:hAnsi="Humanst521 Lt BT"/>
        <w:b/>
      </w:rPr>
    </w:pPr>
  </w:p>
  <w:p w14:paraId="4054F02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158D9116" w14:textId="77777777" w:rsidR="00714098" w:rsidRDefault="00714098">
    <w:pPr>
      <w:tabs>
        <w:tab w:val="right" w:pos="-288"/>
      </w:tabs>
      <w:spacing w:line="240" w:lineRule="exact"/>
      <w:ind w:left="-720" w:right="576"/>
      <w:jc w:val="both"/>
      <w:rPr>
        <w:rFonts w:ascii="Humanst521 Lt BT" w:hAnsi="Humanst521 Lt BT"/>
        <w:b/>
      </w:rPr>
    </w:pPr>
  </w:p>
  <w:p w14:paraId="7303C41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7285C086" w14:textId="77777777" w:rsidR="00714098" w:rsidRDefault="00714098">
    <w:pPr>
      <w:tabs>
        <w:tab w:val="right" w:pos="-288"/>
      </w:tabs>
      <w:spacing w:line="240" w:lineRule="exact"/>
      <w:ind w:left="-720" w:right="576"/>
      <w:jc w:val="both"/>
      <w:rPr>
        <w:rFonts w:ascii="Humanst521 Lt BT" w:hAnsi="Humanst521 Lt BT"/>
        <w:b/>
      </w:rPr>
    </w:pPr>
  </w:p>
  <w:p w14:paraId="1037DAB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49CEE9C3" w14:textId="77777777" w:rsidR="00714098" w:rsidRDefault="00714098">
    <w:pPr>
      <w:tabs>
        <w:tab w:val="right" w:pos="-288"/>
      </w:tabs>
      <w:spacing w:line="240" w:lineRule="exact"/>
      <w:ind w:left="-720" w:right="576"/>
      <w:jc w:val="both"/>
      <w:rPr>
        <w:rFonts w:ascii="Humanst521 Lt BT" w:hAnsi="Humanst521 Lt BT"/>
        <w:b/>
      </w:rPr>
    </w:pPr>
  </w:p>
  <w:p w14:paraId="21EAAFA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4361CDB9" w14:textId="77777777" w:rsidR="00714098" w:rsidRDefault="00714098">
    <w:pPr>
      <w:tabs>
        <w:tab w:val="right" w:pos="-288"/>
      </w:tabs>
      <w:spacing w:line="240" w:lineRule="exact"/>
      <w:ind w:left="-720" w:right="576"/>
      <w:jc w:val="both"/>
      <w:rPr>
        <w:rFonts w:ascii="Humanst521 Lt BT" w:hAnsi="Humanst521 Lt BT"/>
        <w:b/>
      </w:rPr>
    </w:pPr>
  </w:p>
  <w:p w14:paraId="1A1DF83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0AC73C4E" w14:textId="77777777" w:rsidR="00714098" w:rsidRDefault="00714098">
    <w:pPr>
      <w:tabs>
        <w:tab w:val="right" w:pos="-288"/>
      </w:tabs>
      <w:spacing w:line="240" w:lineRule="exact"/>
      <w:ind w:left="-720" w:right="576"/>
      <w:jc w:val="both"/>
      <w:rPr>
        <w:rFonts w:ascii="Humanst521 Lt BT" w:hAnsi="Humanst521 Lt BT"/>
        <w:b/>
      </w:rPr>
    </w:pPr>
  </w:p>
  <w:p w14:paraId="1861414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6611D219" w14:textId="77777777" w:rsidR="00714098" w:rsidRDefault="00714098">
    <w:pPr>
      <w:tabs>
        <w:tab w:val="right" w:pos="-288"/>
      </w:tabs>
      <w:spacing w:line="240" w:lineRule="exact"/>
      <w:ind w:left="-720" w:right="576"/>
      <w:jc w:val="both"/>
      <w:rPr>
        <w:rFonts w:ascii="Humanst521 Lt BT" w:hAnsi="Humanst521 Lt BT"/>
        <w:b/>
      </w:rPr>
    </w:pPr>
  </w:p>
  <w:p w14:paraId="54B607B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6652A9E8" w14:textId="77777777" w:rsidR="00714098" w:rsidRDefault="00714098">
    <w:pPr>
      <w:tabs>
        <w:tab w:val="right" w:pos="-288"/>
      </w:tabs>
      <w:spacing w:line="240" w:lineRule="exact"/>
      <w:ind w:left="-720" w:right="576"/>
      <w:jc w:val="both"/>
      <w:rPr>
        <w:rFonts w:ascii="Humanst521 Lt BT" w:hAnsi="Humanst521 Lt BT"/>
        <w:b/>
      </w:rPr>
    </w:pPr>
  </w:p>
  <w:p w14:paraId="0C4D0C7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02E4DDC6" w14:textId="77777777" w:rsidR="00714098" w:rsidRDefault="00714098">
    <w:pPr>
      <w:tabs>
        <w:tab w:val="right" w:pos="-288"/>
      </w:tabs>
      <w:spacing w:line="240" w:lineRule="exact"/>
      <w:ind w:left="-720" w:right="576"/>
      <w:jc w:val="both"/>
      <w:rPr>
        <w:rFonts w:ascii="Humanst521 Lt BT" w:hAnsi="Humanst521 Lt BT"/>
        <w:b/>
      </w:rPr>
    </w:pPr>
  </w:p>
  <w:p w14:paraId="211C978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60EEAC8D" w14:textId="77777777" w:rsidR="00714098" w:rsidRDefault="00714098">
    <w:pPr>
      <w:tabs>
        <w:tab w:val="right" w:pos="-288"/>
      </w:tabs>
      <w:spacing w:line="240" w:lineRule="exact"/>
      <w:ind w:left="-720" w:right="576"/>
      <w:jc w:val="both"/>
      <w:rPr>
        <w:rFonts w:ascii="Humanst521 Lt BT" w:hAnsi="Humanst521 Lt BT"/>
        <w:b/>
      </w:rPr>
    </w:pPr>
  </w:p>
  <w:p w14:paraId="3F5E9422"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2A65C04F" w14:textId="77777777" w:rsidR="00714098" w:rsidRDefault="00714098">
    <w:pPr>
      <w:tabs>
        <w:tab w:val="right" w:pos="-288"/>
      </w:tabs>
      <w:spacing w:line="240" w:lineRule="exact"/>
      <w:ind w:left="-720" w:right="576"/>
      <w:jc w:val="both"/>
      <w:rPr>
        <w:rFonts w:ascii="Humanst521 Lt BT" w:hAnsi="Humanst521 Lt BT"/>
        <w:b/>
      </w:rPr>
    </w:pPr>
  </w:p>
  <w:p w14:paraId="1C8F560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41E39D96" w14:textId="77777777" w:rsidR="00714098" w:rsidRDefault="00714098">
    <w:pPr>
      <w:tabs>
        <w:tab w:val="right" w:pos="-288"/>
      </w:tabs>
      <w:spacing w:line="240" w:lineRule="exact"/>
      <w:ind w:left="-720" w:right="576"/>
      <w:jc w:val="both"/>
      <w:rPr>
        <w:rFonts w:ascii="Humanst521 Lt BT" w:hAnsi="Humanst521 Lt BT"/>
        <w:b/>
      </w:rPr>
    </w:pPr>
  </w:p>
  <w:p w14:paraId="54215DE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1F1D5685" w14:textId="77777777" w:rsidR="00714098" w:rsidRDefault="00714098">
    <w:pPr>
      <w:spacing w:line="240" w:lineRule="exact"/>
      <w:rPr>
        <w:rFonts w:ascii="Humanst521 Lt BT" w:hAnsi="Humanst521 Lt BT"/>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1D24" w14:textId="77777777" w:rsidR="00536DC7" w:rsidRDefault="00536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702"/>
    <w:multiLevelType w:val="hybridMultilevel"/>
    <w:tmpl w:val="CBE0D76C"/>
    <w:lvl w:ilvl="0" w:tplc="96F82328">
      <w:start w:val="7"/>
      <w:numFmt w:val="lowerLetter"/>
      <w:lvlText w:val="(%1)"/>
      <w:lvlJc w:val="left"/>
      <w:pPr>
        <w:ind w:left="930" w:hanging="360"/>
      </w:pPr>
      <w:rPr>
        <w:rFonts w:hint="default"/>
      </w:rPr>
    </w:lvl>
    <w:lvl w:ilvl="1" w:tplc="46C0BB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0DA06F0"/>
    <w:multiLevelType w:val="hybridMultilevel"/>
    <w:tmpl w:val="8AE0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15:restartNumberingAfterBreak="0">
    <w:nsid w:val="22584FD0"/>
    <w:multiLevelType w:val="hybridMultilevel"/>
    <w:tmpl w:val="D2BE7932"/>
    <w:lvl w:ilvl="0" w:tplc="D804985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7982521"/>
    <w:multiLevelType w:val="hybridMultilevel"/>
    <w:tmpl w:val="1076CD2E"/>
    <w:lvl w:ilvl="0" w:tplc="0D32789A">
      <w:start w:val="1"/>
      <w:numFmt w:val="lowerLetter"/>
      <w:lvlText w:val="(%1)"/>
      <w:lvlJc w:val="left"/>
      <w:pPr>
        <w:ind w:left="810" w:hanging="360"/>
      </w:pPr>
      <w:rPr>
        <w:rFonts w:ascii="Times New Roman" w:hAnsi="Times New Roman" w:cs="Times New Roman"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28D94151"/>
    <w:multiLevelType w:val="hybridMultilevel"/>
    <w:tmpl w:val="EB5A8338"/>
    <w:lvl w:ilvl="0" w:tplc="6396FB18">
      <w:start w:val="7"/>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95E7D"/>
    <w:multiLevelType w:val="hybridMultilevel"/>
    <w:tmpl w:val="F1223B9C"/>
    <w:lvl w:ilvl="0" w:tplc="30940122">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1"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2"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5" w15:restartNumberingAfterBreak="0">
    <w:nsid w:val="524723FE"/>
    <w:multiLevelType w:val="hybridMultilevel"/>
    <w:tmpl w:val="F6E0B144"/>
    <w:lvl w:ilvl="0" w:tplc="429473B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52670E95"/>
    <w:multiLevelType w:val="hybridMultilevel"/>
    <w:tmpl w:val="A8D0BAB6"/>
    <w:lvl w:ilvl="0" w:tplc="3DEAA7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8" w15:restartNumberingAfterBreak="0">
    <w:nsid w:val="5A1B12FF"/>
    <w:multiLevelType w:val="hybridMultilevel"/>
    <w:tmpl w:val="DF848A26"/>
    <w:lvl w:ilvl="0" w:tplc="487E9E0C">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20"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11"/>
  </w:num>
  <w:num w:numId="5">
    <w:abstractNumId w:val="14"/>
  </w:num>
  <w:num w:numId="6">
    <w:abstractNumId w:val="19"/>
  </w:num>
  <w:num w:numId="7">
    <w:abstractNumId w:val="10"/>
  </w:num>
  <w:num w:numId="8">
    <w:abstractNumId w:val="22"/>
  </w:num>
  <w:num w:numId="9">
    <w:abstractNumId w:val="9"/>
  </w:num>
  <w:num w:numId="10">
    <w:abstractNumId w:val="17"/>
  </w:num>
  <w:num w:numId="11">
    <w:abstractNumId w:val="12"/>
  </w:num>
  <w:num w:numId="12">
    <w:abstractNumId w:val="20"/>
  </w:num>
  <w:num w:numId="13">
    <w:abstractNumId w:val="21"/>
  </w:num>
  <w:num w:numId="14">
    <w:abstractNumId w:val="13"/>
  </w:num>
  <w:num w:numId="15">
    <w:abstractNumId w:val="3"/>
  </w:num>
  <w:num w:numId="16">
    <w:abstractNumId w:val="6"/>
  </w:num>
  <w:num w:numId="17">
    <w:abstractNumId w:val="15"/>
  </w:num>
  <w:num w:numId="18">
    <w:abstractNumId w:val="5"/>
  </w:num>
  <w:num w:numId="19">
    <w:abstractNumId w:val="7"/>
  </w:num>
  <w:num w:numId="20">
    <w:abstractNumId w:val="0"/>
  </w:num>
  <w:num w:numId="21">
    <w:abstractNumId w:val="18"/>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01FB2"/>
    <w:rsid w:val="00003F9D"/>
    <w:rsid w:val="00010BDE"/>
    <w:rsid w:val="00012560"/>
    <w:rsid w:val="00014F75"/>
    <w:rsid w:val="000161F9"/>
    <w:rsid w:val="00016F8B"/>
    <w:rsid w:val="000206EB"/>
    <w:rsid w:val="00022E2C"/>
    <w:rsid w:val="0002654E"/>
    <w:rsid w:val="0002656E"/>
    <w:rsid w:val="000302FB"/>
    <w:rsid w:val="0003387A"/>
    <w:rsid w:val="00033D41"/>
    <w:rsid w:val="000356B6"/>
    <w:rsid w:val="00036894"/>
    <w:rsid w:val="00041E7C"/>
    <w:rsid w:val="00043489"/>
    <w:rsid w:val="000540CA"/>
    <w:rsid w:val="000576CB"/>
    <w:rsid w:val="00057FF6"/>
    <w:rsid w:val="00062AD9"/>
    <w:rsid w:val="00062B9D"/>
    <w:rsid w:val="00065974"/>
    <w:rsid w:val="00065A94"/>
    <w:rsid w:val="0007264F"/>
    <w:rsid w:val="00075E94"/>
    <w:rsid w:val="00085D8E"/>
    <w:rsid w:val="0009081A"/>
    <w:rsid w:val="00091266"/>
    <w:rsid w:val="000969D5"/>
    <w:rsid w:val="00096A15"/>
    <w:rsid w:val="000A5238"/>
    <w:rsid w:val="000A5B1C"/>
    <w:rsid w:val="000A639F"/>
    <w:rsid w:val="000A6D9F"/>
    <w:rsid w:val="000B6537"/>
    <w:rsid w:val="000B6CCE"/>
    <w:rsid w:val="000C3072"/>
    <w:rsid w:val="000C72BC"/>
    <w:rsid w:val="000C746A"/>
    <w:rsid w:val="000D7E4F"/>
    <w:rsid w:val="000E0D47"/>
    <w:rsid w:val="000E1D16"/>
    <w:rsid w:val="000E3A90"/>
    <w:rsid w:val="000E7D0F"/>
    <w:rsid w:val="000F0BDD"/>
    <w:rsid w:val="000F7831"/>
    <w:rsid w:val="001007AB"/>
    <w:rsid w:val="001040A8"/>
    <w:rsid w:val="00111CE0"/>
    <w:rsid w:val="00114021"/>
    <w:rsid w:val="00121521"/>
    <w:rsid w:val="0013385B"/>
    <w:rsid w:val="00133F81"/>
    <w:rsid w:val="0013753A"/>
    <w:rsid w:val="00141117"/>
    <w:rsid w:val="001462C8"/>
    <w:rsid w:val="00151ED9"/>
    <w:rsid w:val="00152993"/>
    <w:rsid w:val="0015412D"/>
    <w:rsid w:val="001552B4"/>
    <w:rsid w:val="0015700E"/>
    <w:rsid w:val="00160A0A"/>
    <w:rsid w:val="00163D4E"/>
    <w:rsid w:val="00166449"/>
    <w:rsid w:val="00172749"/>
    <w:rsid w:val="00177F48"/>
    <w:rsid w:val="001803F6"/>
    <w:rsid w:val="00183563"/>
    <w:rsid w:val="00184153"/>
    <w:rsid w:val="00186E0B"/>
    <w:rsid w:val="00190775"/>
    <w:rsid w:val="001914C3"/>
    <w:rsid w:val="0019199B"/>
    <w:rsid w:val="00192957"/>
    <w:rsid w:val="0019323B"/>
    <w:rsid w:val="00193B5A"/>
    <w:rsid w:val="00197109"/>
    <w:rsid w:val="001A3B5D"/>
    <w:rsid w:val="001A3CC8"/>
    <w:rsid w:val="001A75AD"/>
    <w:rsid w:val="001A7B95"/>
    <w:rsid w:val="001B01EA"/>
    <w:rsid w:val="001B1F75"/>
    <w:rsid w:val="001B6530"/>
    <w:rsid w:val="001B6B22"/>
    <w:rsid w:val="001C177E"/>
    <w:rsid w:val="001C24AB"/>
    <w:rsid w:val="001C3914"/>
    <w:rsid w:val="001C3D98"/>
    <w:rsid w:val="001C7BFF"/>
    <w:rsid w:val="001E1A66"/>
    <w:rsid w:val="001E1B5F"/>
    <w:rsid w:val="001E4560"/>
    <w:rsid w:val="001F129E"/>
    <w:rsid w:val="001F140A"/>
    <w:rsid w:val="001F6928"/>
    <w:rsid w:val="002074F5"/>
    <w:rsid w:val="00210174"/>
    <w:rsid w:val="00214F3B"/>
    <w:rsid w:val="0021622D"/>
    <w:rsid w:val="00220235"/>
    <w:rsid w:val="00220F5E"/>
    <w:rsid w:val="00221C79"/>
    <w:rsid w:val="00222A79"/>
    <w:rsid w:val="00225044"/>
    <w:rsid w:val="002255AA"/>
    <w:rsid w:val="00226FD7"/>
    <w:rsid w:val="00227091"/>
    <w:rsid w:val="00227B1D"/>
    <w:rsid w:val="0023042A"/>
    <w:rsid w:val="00232720"/>
    <w:rsid w:val="00233C97"/>
    <w:rsid w:val="002344A9"/>
    <w:rsid w:val="00234DB0"/>
    <w:rsid w:val="00234EC8"/>
    <w:rsid w:val="00240AD0"/>
    <w:rsid w:val="00241C3C"/>
    <w:rsid w:val="00263FF9"/>
    <w:rsid w:val="00264D56"/>
    <w:rsid w:val="00264DAB"/>
    <w:rsid w:val="00266C2A"/>
    <w:rsid w:val="00270EF0"/>
    <w:rsid w:val="00271DF5"/>
    <w:rsid w:val="00291F6B"/>
    <w:rsid w:val="00294565"/>
    <w:rsid w:val="00295341"/>
    <w:rsid w:val="00296C13"/>
    <w:rsid w:val="00297E92"/>
    <w:rsid w:val="002A04E9"/>
    <w:rsid w:val="002A47F1"/>
    <w:rsid w:val="002B0BD8"/>
    <w:rsid w:val="002B225E"/>
    <w:rsid w:val="002B392F"/>
    <w:rsid w:val="002B7D2E"/>
    <w:rsid w:val="002C301F"/>
    <w:rsid w:val="002C6021"/>
    <w:rsid w:val="002C6FB1"/>
    <w:rsid w:val="002C701F"/>
    <w:rsid w:val="002C702F"/>
    <w:rsid w:val="002D22F7"/>
    <w:rsid w:val="002D292C"/>
    <w:rsid w:val="002D3136"/>
    <w:rsid w:val="002E176F"/>
    <w:rsid w:val="002E35D3"/>
    <w:rsid w:val="002E4E94"/>
    <w:rsid w:val="002E7036"/>
    <w:rsid w:val="002F05E9"/>
    <w:rsid w:val="002F24E5"/>
    <w:rsid w:val="002F2A78"/>
    <w:rsid w:val="002F3EB1"/>
    <w:rsid w:val="002F4343"/>
    <w:rsid w:val="002F43D1"/>
    <w:rsid w:val="002F4723"/>
    <w:rsid w:val="002F499A"/>
    <w:rsid w:val="00302EE3"/>
    <w:rsid w:val="00306261"/>
    <w:rsid w:val="00313306"/>
    <w:rsid w:val="00313B9E"/>
    <w:rsid w:val="00314EEA"/>
    <w:rsid w:val="003165C9"/>
    <w:rsid w:val="00316768"/>
    <w:rsid w:val="003167C4"/>
    <w:rsid w:val="003273AA"/>
    <w:rsid w:val="0032785B"/>
    <w:rsid w:val="00330B95"/>
    <w:rsid w:val="00331C0A"/>
    <w:rsid w:val="00333C72"/>
    <w:rsid w:val="00333CB1"/>
    <w:rsid w:val="00341F6D"/>
    <w:rsid w:val="00350E4E"/>
    <w:rsid w:val="00351DE8"/>
    <w:rsid w:val="00355055"/>
    <w:rsid w:val="003558C2"/>
    <w:rsid w:val="0036000B"/>
    <w:rsid w:val="00360242"/>
    <w:rsid w:val="00361081"/>
    <w:rsid w:val="003616F4"/>
    <w:rsid w:val="00361862"/>
    <w:rsid w:val="00363310"/>
    <w:rsid w:val="00366FE3"/>
    <w:rsid w:val="00372104"/>
    <w:rsid w:val="00372CF1"/>
    <w:rsid w:val="0037470F"/>
    <w:rsid w:val="00375DCD"/>
    <w:rsid w:val="00375E59"/>
    <w:rsid w:val="00377D96"/>
    <w:rsid w:val="00384AD4"/>
    <w:rsid w:val="00386A35"/>
    <w:rsid w:val="00391353"/>
    <w:rsid w:val="0039311E"/>
    <w:rsid w:val="003968B9"/>
    <w:rsid w:val="003A76DC"/>
    <w:rsid w:val="003B3C39"/>
    <w:rsid w:val="003B3D13"/>
    <w:rsid w:val="003B5E91"/>
    <w:rsid w:val="003C133A"/>
    <w:rsid w:val="003C3CDD"/>
    <w:rsid w:val="003C7CDF"/>
    <w:rsid w:val="003D69D0"/>
    <w:rsid w:val="003E0832"/>
    <w:rsid w:val="003E7A7B"/>
    <w:rsid w:val="003F38BF"/>
    <w:rsid w:val="00403274"/>
    <w:rsid w:val="00406004"/>
    <w:rsid w:val="00406BB3"/>
    <w:rsid w:val="00411259"/>
    <w:rsid w:val="00411B48"/>
    <w:rsid w:val="00411CDC"/>
    <w:rsid w:val="004122D2"/>
    <w:rsid w:val="00413518"/>
    <w:rsid w:val="0041699F"/>
    <w:rsid w:val="004250A1"/>
    <w:rsid w:val="00425FCA"/>
    <w:rsid w:val="00427C45"/>
    <w:rsid w:val="004363FF"/>
    <w:rsid w:val="0044149A"/>
    <w:rsid w:val="004416FD"/>
    <w:rsid w:val="004439E4"/>
    <w:rsid w:val="00444AB3"/>
    <w:rsid w:val="004502CC"/>
    <w:rsid w:val="004503B4"/>
    <w:rsid w:val="004550D2"/>
    <w:rsid w:val="00455242"/>
    <w:rsid w:val="004600B8"/>
    <w:rsid w:val="00460498"/>
    <w:rsid w:val="00466C3A"/>
    <w:rsid w:val="00467A02"/>
    <w:rsid w:val="004717A0"/>
    <w:rsid w:val="00475000"/>
    <w:rsid w:val="00480D6D"/>
    <w:rsid w:val="00481A0E"/>
    <w:rsid w:val="004851FD"/>
    <w:rsid w:val="00490496"/>
    <w:rsid w:val="00492C71"/>
    <w:rsid w:val="00494514"/>
    <w:rsid w:val="004952D8"/>
    <w:rsid w:val="004A3CC6"/>
    <w:rsid w:val="004A6651"/>
    <w:rsid w:val="004A7039"/>
    <w:rsid w:val="004B18CE"/>
    <w:rsid w:val="004B7472"/>
    <w:rsid w:val="004B78EB"/>
    <w:rsid w:val="004C1C1F"/>
    <w:rsid w:val="004C2517"/>
    <w:rsid w:val="004C3B70"/>
    <w:rsid w:val="004C6DEC"/>
    <w:rsid w:val="004D0034"/>
    <w:rsid w:val="004D06BD"/>
    <w:rsid w:val="004D370F"/>
    <w:rsid w:val="004D5A9A"/>
    <w:rsid w:val="004D65E2"/>
    <w:rsid w:val="004D694A"/>
    <w:rsid w:val="004E29EC"/>
    <w:rsid w:val="004E5656"/>
    <w:rsid w:val="004E5CF4"/>
    <w:rsid w:val="004F6F2A"/>
    <w:rsid w:val="005065FB"/>
    <w:rsid w:val="0050720F"/>
    <w:rsid w:val="00507FC7"/>
    <w:rsid w:val="00510610"/>
    <w:rsid w:val="00510A67"/>
    <w:rsid w:val="0051342A"/>
    <w:rsid w:val="00516CC7"/>
    <w:rsid w:val="00521942"/>
    <w:rsid w:val="00522685"/>
    <w:rsid w:val="0052408F"/>
    <w:rsid w:val="00524739"/>
    <w:rsid w:val="005271CA"/>
    <w:rsid w:val="00534554"/>
    <w:rsid w:val="005359B4"/>
    <w:rsid w:val="00536DC7"/>
    <w:rsid w:val="00542142"/>
    <w:rsid w:val="00545881"/>
    <w:rsid w:val="0054761C"/>
    <w:rsid w:val="005476B6"/>
    <w:rsid w:val="00561143"/>
    <w:rsid w:val="005710A2"/>
    <w:rsid w:val="005722F6"/>
    <w:rsid w:val="00572D5C"/>
    <w:rsid w:val="00576E2B"/>
    <w:rsid w:val="005815D6"/>
    <w:rsid w:val="00583854"/>
    <w:rsid w:val="00585CC4"/>
    <w:rsid w:val="00597527"/>
    <w:rsid w:val="005A3116"/>
    <w:rsid w:val="005A54CD"/>
    <w:rsid w:val="005A54DB"/>
    <w:rsid w:val="005B3688"/>
    <w:rsid w:val="005B76CB"/>
    <w:rsid w:val="005B7EBC"/>
    <w:rsid w:val="005C1696"/>
    <w:rsid w:val="005C4A1E"/>
    <w:rsid w:val="005D4E2C"/>
    <w:rsid w:val="005D6198"/>
    <w:rsid w:val="005E3D1D"/>
    <w:rsid w:val="005F3216"/>
    <w:rsid w:val="005F5A89"/>
    <w:rsid w:val="005F5F61"/>
    <w:rsid w:val="00600F3D"/>
    <w:rsid w:val="00601326"/>
    <w:rsid w:val="00601830"/>
    <w:rsid w:val="0060237C"/>
    <w:rsid w:val="006027C0"/>
    <w:rsid w:val="00602A50"/>
    <w:rsid w:val="00602C81"/>
    <w:rsid w:val="0061099B"/>
    <w:rsid w:val="006109A3"/>
    <w:rsid w:val="0061385F"/>
    <w:rsid w:val="00621AF2"/>
    <w:rsid w:val="0062537D"/>
    <w:rsid w:val="0062643C"/>
    <w:rsid w:val="0063231C"/>
    <w:rsid w:val="00633330"/>
    <w:rsid w:val="00642713"/>
    <w:rsid w:val="006466F6"/>
    <w:rsid w:val="0065463E"/>
    <w:rsid w:val="00657092"/>
    <w:rsid w:val="006619B2"/>
    <w:rsid w:val="006619E1"/>
    <w:rsid w:val="00664458"/>
    <w:rsid w:val="006674CD"/>
    <w:rsid w:val="006711C7"/>
    <w:rsid w:val="00676B5D"/>
    <w:rsid w:val="00680D2C"/>
    <w:rsid w:val="0068194F"/>
    <w:rsid w:val="00693CC8"/>
    <w:rsid w:val="006943C5"/>
    <w:rsid w:val="006A3FB2"/>
    <w:rsid w:val="006A6C57"/>
    <w:rsid w:val="006C0F35"/>
    <w:rsid w:val="006C2099"/>
    <w:rsid w:val="006C3CCD"/>
    <w:rsid w:val="006D0718"/>
    <w:rsid w:val="006D0985"/>
    <w:rsid w:val="006D0FD0"/>
    <w:rsid w:val="006D3B9E"/>
    <w:rsid w:val="006D4F72"/>
    <w:rsid w:val="006F1A7C"/>
    <w:rsid w:val="006F2C09"/>
    <w:rsid w:val="00700681"/>
    <w:rsid w:val="007050D4"/>
    <w:rsid w:val="007074BB"/>
    <w:rsid w:val="00707773"/>
    <w:rsid w:val="00707B10"/>
    <w:rsid w:val="00713597"/>
    <w:rsid w:val="00714098"/>
    <w:rsid w:val="00717EDD"/>
    <w:rsid w:val="00723AB4"/>
    <w:rsid w:val="00723FD0"/>
    <w:rsid w:val="00735E9B"/>
    <w:rsid w:val="00735F1A"/>
    <w:rsid w:val="007368FC"/>
    <w:rsid w:val="007370DD"/>
    <w:rsid w:val="0074150A"/>
    <w:rsid w:val="0074285E"/>
    <w:rsid w:val="0075042F"/>
    <w:rsid w:val="00751953"/>
    <w:rsid w:val="0075254E"/>
    <w:rsid w:val="00755CA6"/>
    <w:rsid w:val="00757C61"/>
    <w:rsid w:val="007623A5"/>
    <w:rsid w:val="00775E8B"/>
    <w:rsid w:val="00776054"/>
    <w:rsid w:val="007812FA"/>
    <w:rsid w:val="00781E42"/>
    <w:rsid w:val="00784FFC"/>
    <w:rsid w:val="0079120C"/>
    <w:rsid w:val="0079128E"/>
    <w:rsid w:val="00791A58"/>
    <w:rsid w:val="00791DDF"/>
    <w:rsid w:val="00794F3B"/>
    <w:rsid w:val="00795813"/>
    <w:rsid w:val="007A30C6"/>
    <w:rsid w:val="007A65A0"/>
    <w:rsid w:val="007B02A2"/>
    <w:rsid w:val="007B0660"/>
    <w:rsid w:val="007B2EB9"/>
    <w:rsid w:val="007B314E"/>
    <w:rsid w:val="007B3BE5"/>
    <w:rsid w:val="007B7815"/>
    <w:rsid w:val="007C0618"/>
    <w:rsid w:val="007C0779"/>
    <w:rsid w:val="007C1852"/>
    <w:rsid w:val="007C1FED"/>
    <w:rsid w:val="007C63B8"/>
    <w:rsid w:val="007D0F12"/>
    <w:rsid w:val="007D7349"/>
    <w:rsid w:val="007E0196"/>
    <w:rsid w:val="007E4950"/>
    <w:rsid w:val="007F4DF1"/>
    <w:rsid w:val="00803B30"/>
    <w:rsid w:val="00804992"/>
    <w:rsid w:val="008105B5"/>
    <w:rsid w:val="00811910"/>
    <w:rsid w:val="00814FE0"/>
    <w:rsid w:val="00822587"/>
    <w:rsid w:val="0082309E"/>
    <w:rsid w:val="008243E5"/>
    <w:rsid w:val="00824E79"/>
    <w:rsid w:val="00831EC9"/>
    <w:rsid w:val="0084150F"/>
    <w:rsid w:val="00843E70"/>
    <w:rsid w:val="008446C3"/>
    <w:rsid w:val="008455F6"/>
    <w:rsid w:val="0084608B"/>
    <w:rsid w:val="00847574"/>
    <w:rsid w:val="00847788"/>
    <w:rsid w:val="00850C3E"/>
    <w:rsid w:val="00851478"/>
    <w:rsid w:val="0085416E"/>
    <w:rsid w:val="008565C4"/>
    <w:rsid w:val="008610DE"/>
    <w:rsid w:val="00861BE6"/>
    <w:rsid w:val="00861E8A"/>
    <w:rsid w:val="00862522"/>
    <w:rsid w:val="00865197"/>
    <w:rsid w:val="0086596F"/>
    <w:rsid w:val="008702B2"/>
    <w:rsid w:val="00875ED1"/>
    <w:rsid w:val="00884264"/>
    <w:rsid w:val="008858DA"/>
    <w:rsid w:val="008878B7"/>
    <w:rsid w:val="0089028F"/>
    <w:rsid w:val="008908E2"/>
    <w:rsid w:val="008934FF"/>
    <w:rsid w:val="008938FB"/>
    <w:rsid w:val="008A047B"/>
    <w:rsid w:val="008A48D1"/>
    <w:rsid w:val="008A5C26"/>
    <w:rsid w:val="008B1CD6"/>
    <w:rsid w:val="008B5266"/>
    <w:rsid w:val="008B63D3"/>
    <w:rsid w:val="008B718A"/>
    <w:rsid w:val="008C3D93"/>
    <w:rsid w:val="008C3EB7"/>
    <w:rsid w:val="008C5166"/>
    <w:rsid w:val="008C5693"/>
    <w:rsid w:val="008C59D3"/>
    <w:rsid w:val="008D77B0"/>
    <w:rsid w:val="008E2488"/>
    <w:rsid w:val="008E45CE"/>
    <w:rsid w:val="008E678B"/>
    <w:rsid w:val="008F2371"/>
    <w:rsid w:val="008F7512"/>
    <w:rsid w:val="009110F1"/>
    <w:rsid w:val="00915677"/>
    <w:rsid w:val="00920EB4"/>
    <w:rsid w:val="00926739"/>
    <w:rsid w:val="00926D1F"/>
    <w:rsid w:val="009271EA"/>
    <w:rsid w:val="00933617"/>
    <w:rsid w:val="00937081"/>
    <w:rsid w:val="00946B6C"/>
    <w:rsid w:val="00947D99"/>
    <w:rsid w:val="009506D9"/>
    <w:rsid w:val="009518CF"/>
    <w:rsid w:val="00951F5A"/>
    <w:rsid w:val="00952701"/>
    <w:rsid w:val="009545C1"/>
    <w:rsid w:val="00955A46"/>
    <w:rsid w:val="009637B4"/>
    <w:rsid w:val="0096534F"/>
    <w:rsid w:val="009732E3"/>
    <w:rsid w:val="0097390B"/>
    <w:rsid w:val="00973970"/>
    <w:rsid w:val="0097429B"/>
    <w:rsid w:val="009743AC"/>
    <w:rsid w:val="00980F4C"/>
    <w:rsid w:val="0099117A"/>
    <w:rsid w:val="0099387B"/>
    <w:rsid w:val="00996866"/>
    <w:rsid w:val="009A4410"/>
    <w:rsid w:val="009B162E"/>
    <w:rsid w:val="009B23EA"/>
    <w:rsid w:val="009B5F6A"/>
    <w:rsid w:val="009B6E8D"/>
    <w:rsid w:val="009B78AD"/>
    <w:rsid w:val="009B7EC3"/>
    <w:rsid w:val="009C08F8"/>
    <w:rsid w:val="009C477B"/>
    <w:rsid w:val="009D31C5"/>
    <w:rsid w:val="009D6DB8"/>
    <w:rsid w:val="009D7A27"/>
    <w:rsid w:val="009E3BD4"/>
    <w:rsid w:val="009F2079"/>
    <w:rsid w:val="009F32BB"/>
    <w:rsid w:val="009F35FF"/>
    <w:rsid w:val="00A021DD"/>
    <w:rsid w:val="00A02E96"/>
    <w:rsid w:val="00A03119"/>
    <w:rsid w:val="00A035EA"/>
    <w:rsid w:val="00A047FB"/>
    <w:rsid w:val="00A12C21"/>
    <w:rsid w:val="00A13E3E"/>
    <w:rsid w:val="00A22578"/>
    <w:rsid w:val="00A22F7D"/>
    <w:rsid w:val="00A23F2F"/>
    <w:rsid w:val="00A24888"/>
    <w:rsid w:val="00A24E36"/>
    <w:rsid w:val="00A264DD"/>
    <w:rsid w:val="00A27296"/>
    <w:rsid w:val="00A301D9"/>
    <w:rsid w:val="00A30908"/>
    <w:rsid w:val="00A34E85"/>
    <w:rsid w:val="00A413D5"/>
    <w:rsid w:val="00A41FD7"/>
    <w:rsid w:val="00A42C92"/>
    <w:rsid w:val="00A4691C"/>
    <w:rsid w:val="00A54715"/>
    <w:rsid w:val="00A55FBC"/>
    <w:rsid w:val="00A56857"/>
    <w:rsid w:val="00A67241"/>
    <w:rsid w:val="00A73F88"/>
    <w:rsid w:val="00A745EF"/>
    <w:rsid w:val="00A75EBF"/>
    <w:rsid w:val="00A876F9"/>
    <w:rsid w:val="00A8798B"/>
    <w:rsid w:val="00A92388"/>
    <w:rsid w:val="00A93156"/>
    <w:rsid w:val="00A97971"/>
    <w:rsid w:val="00AA12EA"/>
    <w:rsid w:val="00AA2454"/>
    <w:rsid w:val="00AA4E41"/>
    <w:rsid w:val="00AA7D42"/>
    <w:rsid w:val="00AB4290"/>
    <w:rsid w:val="00AC2262"/>
    <w:rsid w:val="00AC2381"/>
    <w:rsid w:val="00AC49DD"/>
    <w:rsid w:val="00AD14AC"/>
    <w:rsid w:val="00AD435C"/>
    <w:rsid w:val="00AD5AF0"/>
    <w:rsid w:val="00AD6B2B"/>
    <w:rsid w:val="00AE104C"/>
    <w:rsid w:val="00AE3F5A"/>
    <w:rsid w:val="00AE4D6B"/>
    <w:rsid w:val="00AE63E8"/>
    <w:rsid w:val="00AE75B3"/>
    <w:rsid w:val="00AF3934"/>
    <w:rsid w:val="00AF5158"/>
    <w:rsid w:val="00AF5C12"/>
    <w:rsid w:val="00AF7D33"/>
    <w:rsid w:val="00B02A05"/>
    <w:rsid w:val="00B02B57"/>
    <w:rsid w:val="00B03DED"/>
    <w:rsid w:val="00B04EFF"/>
    <w:rsid w:val="00B07FBD"/>
    <w:rsid w:val="00B13E25"/>
    <w:rsid w:val="00B15183"/>
    <w:rsid w:val="00B17B99"/>
    <w:rsid w:val="00B20157"/>
    <w:rsid w:val="00B20C63"/>
    <w:rsid w:val="00B214F4"/>
    <w:rsid w:val="00B261C7"/>
    <w:rsid w:val="00B26721"/>
    <w:rsid w:val="00B26C11"/>
    <w:rsid w:val="00B33CCE"/>
    <w:rsid w:val="00B3764E"/>
    <w:rsid w:val="00B40126"/>
    <w:rsid w:val="00B44498"/>
    <w:rsid w:val="00B455C7"/>
    <w:rsid w:val="00B464A5"/>
    <w:rsid w:val="00B46A2B"/>
    <w:rsid w:val="00B47C11"/>
    <w:rsid w:val="00B50BE8"/>
    <w:rsid w:val="00B532D8"/>
    <w:rsid w:val="00B548C6"/>
    <w:rsid w:val="00B604A9"/>
    <w:rsid w:val="00B613C5"/>
    <w:rsid w:val="00B64741"/>
    <w:rsid w:val="00B7066D"/>
    <w:rsid w:val="00B71A77"/>
    <w:rsid w:val="00B745A1"/>
    <w:rsid w:val="00B74D87"/>
    <w:rsid w:val="00B75DC0"/>
    <w:rsid w:val="00B81BF7"/>
    <w:rsid w:val="00B83CC6"/>
    <w:rsid w:val="00B846C6"/>
    <w:rsid w:val="00B91788"/>
    <w:rsid w:val="00B93705"/>
    <w:rsid w:val="00B97861"/>
    <w:rsid w:val="00BA4151"/>
    <w:rsid w:val="00BB1A5C"/>
    <w:rsid w:val="00BB293F"/>
    <w:rsid w:val="00BB2A40"/>
    <w:rsid w:val="00BB59F3"/>
    <w:rsid w:val="00BB743E"/>
    <w:rsid w:val="00BC2198"/>
    <w:rsid w:val="00BC3F48"/>
    <w:rsid w:val="00BC6AF8"/>
    <w:rsid w:val="00BD04E0"/>
    <w:rsid w:val="00BD40E7"/>
    <w:rsid w:val="00BD58C4"/>
    <w:rsid w:val="00BE2D52"/>
    <w:rsid w:val="00BE785E"/>
    <w:rsid w:val="00BF23F8"/>
    <w:rsid w:val="00BF5583"/>
    <w:rsid w:val="00C001D7"/>
    <w:rsid w:val="00C00416"/>
    <w:rsid w:val="00C01161"/>
    <w:rsid w:val="00C03076"/>
    <w:rsid w:val="00C03EE9"/>
    <w:rsid w:val="00C10EC2"/>
    <w:rsid w:val="00C12466"/>
    <w:rsid w:val="00C15565"/>
    <w:rsid w:val="00C20E87"/>
    <w:rsid w:val="00C31E4F"/>
    <w:rsid w:val="00C35878"/>
    <w:rsid w:val="00C43E3C"/>
    <w:rsid w:val="00C44A63"/>
    <w:rsid w:val="00C453DE"/>
    <w:rsid w:val="00C46D34"/>
    <w:rsid w:val="00C5198A"/>
    <w:rsid w:val="00C52817"/>
    <w:rsid w:val="00C5384C"/>
    <w:rsid w:val="00C54489"/>
    <w:rsid w:val="00C60F23"/>
    <w:rsid w:val="00C647C4"/>
    <w:rsid w:val="00C741BC"/>
    <w:rsid w:val="00C74C5F"/>
    <w:rsid w:val="00C76940"/>
    <w:rsid w:val="00C80D1C"/>
    <w:rsid w:val="00C81F19"/>
    <w:rsid w:val="00C83859"/>
    <w:rsid w:val="00C9148B"/>
    <w:rsid w:val="00C92A75"/>
    <w:rsid w:val="00C93AA3"/>
    <w:rsid w:val="00C966EF"/>
    <w:rsid w:val="00C96A93"/>
    <w:rsid w:val="00CA0DD2"/>
    <w:rsid w:val="00CA1AA6"/>
    <w:rsid w:val="00CA4AE7"/>
    <w:rsid w:val="00CA78EE"/>
    <w:rsid w:val="00CB0F14"/>
    <w:rsid w:val="00CB1457"/>
    <w:rsid w:val="00CB3209"/>
    <w:rsid w:val="00CB54A5"/>
    <w:rsid w:val="00CB5E7A"/>
    <w:rsid w:val="00CC1967"/>
    <w:rsid w:val="00CD0669"/>
    <w:rsid w:val="00CD7181"/>
    <w:rsid w:val="00CE0075"/>
    <w:rsid w:val="00CE0AFB"/>
    <w:rsid w:val="00CE7BEF"/>
    <w:rsid w:val="00CF3828"/>
    <w:rsid w:val="00CF3BF4"/>
    <w:rsid w:val="00CF3E96"/>
    <w:rsid w:val="00CF4C05"/>
    <w:rsid w:val="00D01782"/>
    <w:rsid w:val="00D019A9"/>
    <w:rsid w:val="00D01B2B"/>
    <w:rsid w:val="00D029FE"/>
    <w:rsid w:val="00D11A26"/>
    <w:rsid w:val="00D145BA"/>
    <w:rsid w:val="00D14C71"/>
    <w:rsid w:val="00D17D6C"/>
    <w:rsid w:val="00D22A22"/>
    <w:rsid w:val="00D24CBF"/>
    <w:rsid w:val="00D340B1"/>
    <w:rsid w:val="00D40318"/>
    <w:rsid w:val="00D4036F"/>
    <w:rsid w:val="00D404D1"/>
    <w:rsid w:val="00D45DB8"/>
    <w:rsid w:val="00D47621"/>
    <w:rsid w:val="00D52A27"/>
    <w:rsid w:val="00D54AE8"/>
    <w:rsid w:val="00D57E0F"/>
    <w:rsid w:val="00D62AC7"/>
    <w:rsid w:val="00D64DEC"/>
    <w:rsid w:val="00D65A42"/>
    <w:rsid w:val="00D72927"/>
    <w:rsid w:val="00D74F22"/>
    <w:rsid w:val="00D77791"/>
    <w:rsid w:val="00D80552"/>
    <w:rsid w:val="00D8150B"/>
    <w:rsid w:val="00D83931"/>
    <w:rsid w:val="00D84803"/>
    <w:rsid w:val="00D85376"/>
    <w:rsid w:val="00D869DC"/>
    <w:rsid w:val="00D900D1"/>
    <w:rsid w:val="00D9143A"/>
    <w:rsid w:val="00D9522D"/>
    <w:rsid w:val="00D95CF9"/>
    <w:rsid w:val="00D97BF4"/>
    <w:rsid w:val="00DA3EB0"/>
    <w:rsid w:val="00DA70D5"/>
    <w:rsid w:val="00DA7375"/>
    <w:rsid w:val="00DB04F2"/>
    <w:rsid w:val="00DB61A6"/>
    <w:rsid w:val="00DB695C"/>
    <w:rsid w:val="00DC1528"/>
    <w:rsid w:val="00DD012C"/>
    <w:rsid w:val="00DD5CED"/>
    <w:rsid w:val="00DE1278"/>
    <w:rsid w:val="00DE2CD3"/>
    <w:rsid w:val="00DE6163"/>
    <w:rsid w:val="00DF0BEB"/>
    <w:rsid w:val="00DF13AD"/>
    <w:rsid w:val="00DF191F"/>
    <w:rsid w:val="00DF1F2E"/>
    <w:rsid w:val="00DF625A"/>
    <w:rsid w:val="00DF7741"/>
    <w:rsid w:val="00DF7AE2"/>
    <w:rsid w:val="00E00C47"/>
    <w:rsid w:val="00E023D0"/>
    <w:rsid w:val="00E06B33"/>
    <w:rsid w:val="00E13078"/>
    <w:rsid w:val="00E1403E"/>
    <w:rsid w:val="00E24F99"/>
    <w:rsid w:val="00E32800"/>
    <w:rsid w:val="00E34637"/>
    <w:rsid w:val="00E405D2"/>
    <w:rsid w:val="00E40CF6"/>
    <w:rsid w:val="00E414CE"/>
    <w:rsid w:val="00E42B34"/>
    <w:rsid w:val="00E52D1F"/>
    <w:rsid w:val="00E5726F"/>
    <w:rsid w:val="00E6336F"/>
    <w:rsid w:val="00E648B3"/>
    <w:rsid w:val="00E67956"/>
    <w:rsid w:val="00E745C4"/>
    <w:rsid w:val="00E827FF"/>
    <w:rsid w:val="00E829AF"/>
    <w:rsid w:val="00E82BF0"/>
    <w:rsid w:val="00E86C16"/>
    <w:rsid w:val="00E91B4A"/>
    <w:rsid w:val="00E9533D"/>
    <w:rsid w:val="00E9595E"/>
    <w:rsid w:val="00EA1086"/>
    <w:rsid w:val="00EA10C7"/>
    <w:rsid w:val="00EA33E8"/>
    <w:rsid w:val="00EA4E48"/>
    <w:rsid w:val="00EA5F05"/>
    <w:rsid w:val="00EB16EB"/>
    <w:rsid w:val="00EB5DC5"/>
    <w:rsid w:val="00EB5FF9"/>
    <w:rsid w:val="00EB6932"/>
    <w:rsid w:val="00EC7C60"/>
    <w:rsid w:val="00ED05EE"/>
    <w:rsid w:val="00ED3C1E"/>
    <w:rsid w:val="00ED43FE"/>
    <w:rsid w:val="00ED53CE"/>
    <w:rsid w:val="00ED7EC8"/>
    <w:rsid w:val="00EE0233"/>
    <w:rsid w:val="00EE1D88"/>
    <w:rsid w:val="00EE200A"/>
    <w:rsid w:val="00EE29AF"/>
    <w:rsid w:val="00EE690B"/>
    <w:rsid w:val="00EE7A29"/>
    <w:rsid w:val="00EE7DA6"/>
    <w:rsid w:val="00EE7E24"/>
    <w:rsid w:val="00EF1AAC"/>
    <w:rsid w:val="00EF3659"/>
    <w:rsid w:val="00EF3FD0"/>
    <w:rsid w:val="00EF4C32"/>
    <w:rsid w:val="00EF5490"/>
    <w:rsid w:val="00F0223B"/>
    <w:rsid w:val="00F0223D"/>
    <w:rsid w:val="00F074AC"/>
    <w:rsid w:val="00F07FB1"/>
    <w:rsid w:val="00F12828"/>
    <w:rsid w:val="00F13005"/>
    <w:rsid w:val="00F1334B"/>
    <w:rsid w:val="00F21D70"/>
    <w:rsid w:val="00F22DD9"/>
    <w:rsid w:val="00F34B7A"/>
    <w:rsid w:val="00F40E24"/>
    <w:rsid w:val="00F507CA"/>
    <w:rsid w:val="00F528F3"/>
    <w:rsid w:val="00F56680"/>
    <w:rsid w:val="00F57CC2"/>
    <w:rsid w:val="00F6015A"/>
    <w:rsid w:val="00F60EA3"/>
    <w:rsid w:val="00F611D2"/>
    <w:rsid w:val="00F63E6C"/>
    <w:rsid w:val="00F641BB"/>
    <w:rsid w:val="00F7671B"/>
    <w:rsid w:val="00F76C6A"/>
    <w:rsid w:val="00F77B65"/>
    <w:rsid w:val="00F8305F"/>
    <w:rsid w:val="00F8584B"/>
    <w:rsid w:val="00F86602"/>
    <w:rsid w:val="00F90354"/>
    <w:rsid w:val="00F90CB9"/>
    <w:rsid w:val="00F9199F"/>
    <w:rsid w:val="00FA181F"/>
    <w:rsid w:val="00FA79EA"/>
    <w:rsid w:val="00FB0418"/>
    <w:rsid w:val="00FB22DE"/>
    <w:rsid w:val="00FB2A37"/>
    <w:rsid w:val="00FB392F"/>
    <w:rsid w:val="00FB597B"/>
    <w:rsid w:val="00FB7894"/>
    <w:rsid w:val="00FC5650"/>
    <w:rsid w:val="00FD0A0E"/>
    <w:rsid w:val="00FD143D"/>
    <w:rsid w:val="00FE1281"/>
    <w:rsid w:val="00FE55C6"/>
    <w:rsid w:val="00FF333F"/>
    <w:rsid w:val="00FF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BD2E4E6"/>
  <w15:docId w15:val="{D21A32AA-730D-4521-85B5-86C0A11D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00E"/>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406004"/>
    <w:pPr>
      <w:widowControl/>
      <w:ind w:left="720"/>
      <w:contextualSpacing/>
    </w:pPr>
    <w:rPr>
      <w:rFonts w:ascii="Arial" w:hAnsi="Arial"/>
      <w:snapToGrid/>
      <w:spacing w:val="-5"/>
      <w:sz w:val="22"/>
    </w:rPr>
  </w:style>
  <w:style w:type="character" w:styleId="CommentReference">
    <w:name w:val="annotation reference"/>
    <w:basedOn w:val="DefaultParagraphFont"/>
    <w:semiHidden/>
    <w:unhideWhenUsed/>
    <w:rsid w:val="006C3CCD"/>
    <w:rPr>
      <w:sz w:val="16"/>
      <w:szCs w:val="16"/>
    </w:rPr>
  </w:style>
  <w:style w:type="paragraph" w:styleId="CommentText">
    <w:name w:val="annotation text"/>
    <w:basedOn w:val="Normal"/>
    <w:link w:val="CommentTextChar"/>
    <w:semiHidden/>
    <w:unhideWhenUsed/>
    <w:rsid w:val="006C3CCD"/>
    <w:rPr>
      <w:sz w:val="20"/>
    </w:rPr>
  </w:style>
  <w:style w:type="character" w:customStyle="1" w:styleId="CommentTextChar">
    <w:name w:val="Comment Text Char"/>
    <w:basedOn w:val="DefaultParagraphFont"/>
    <w:link w:val="CommentText"/>
    <w:semiHidden/>
    <w:rsid w:val="006C3CCD"/>
    <w:rPr>
      <w:snapToGrid w:val="0"/>
    </w:rPr>
  </w:style>
  <w:style w:type="paragraph" w:styleId="CommentSubject">
    <w:name w:val="annotation subject"/>
    <w:basedOn w:val="CommentText"/>
    <w:next w:val="CommentText"/>
    <w:link w:val="CommentSubjectChar"/>
    <w:semiHidden/>
    <w:unhideWhenUsed/>
    <w:rsid w:val="006C3CCD"/>
    <w:rPr>
      <w:b/>
      <w:bCs/>
    </w:rPr>
  </w:style>
  <w:style w:type="character" w:customStyle="1" w:styleId="CommentSubjectChar">
    <w:name w:val="Comment Subject Char"/>
    <w:basedOn w:val="CommentTextChar"/>
    <w:link w:val="CommentSubject"/>
    <w:semiHidden/>
    <w:rsid w:val="006C3CCD"/>
    <w:rPr>
      <w:b/>
      <w:bCs/>
      <w:snapToGrid w:val="0"/>
    </w:rPr>
  </w:style>
  <w:style w:type="paragraph" w:styleId="Revision">
    <w:name w:val="Revision"/>
    <w:hidden/>
    <w:uiPriority w:val="99"/>
    <w:semiHidden/>
    <w:rsid w:val="00F56680"/>
    <w:rPr>
      <w:snapToGrid w:val="0"/>
      <w:sz w:val="24"/>
    </w:rPr>
  </w:style>
  <w:style w:type="paragraph" w:styleId="Header">
    <w:name w:val="header"/>
    <w:basedOn w:val="Normal"/>
    <w:link w:val="HeaderChar"/>
    <w:unhideWhenUsed/>
    <w:rsid w:val="00D869DC"/>
    <w:pPr>
      <w:tabs>
        <w:tab w:val="center" w:pos="4680"/>
        <w:tab w:val="right" w:pos="9360"/>
      </w:tabs>
    </w:pPr>
  </w:style>
  <w:style w:type="character" w:customStyle="1" w:styleId="HeaderChar">
    <w:name w:val="Header Char"/>
    <w:basedOn w:val="DefaultParagraphFont"/>
    <w:link w:val="Header"/>
    <w:rsid w:val="00D869D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56009527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37">
          <w:marLeft w:val="0"/>
          <w:marRight w:val="0"/>
          <w:marTop w:val="0"/>
          <w:marBottom w:val="0"/>
          <w:divBdr>
            <w:top w:val="none" w:sz="0" w:space="0" w:color="auto"/>
            <w:left w:val="none" w:sz="0" w:space="0" w:color="auto"/>
            <w:bottom w:val="none" w:sz="0" w:space="0" w:color="auto"/>
            <w:right w:val="none" w:sz="0" w:space="0" w:color="auto"/>
          </w:divBdr>
          <w:divsChild>
            <w:div w:id="749624215">
              <w:marLeft w:val="0"/>
              <w:marRight w:val="0"/>
              <w:marTop w:val="0"/>
              <w:marBottom w:val="0"/>
              <w:divBdr>
                <w:top w:val="none" w:sz="0" w:space="0" w:color="auto"/>
                <w:left w:val="none" w:sz="0" w:space="0" w:color="auto"/>
                <w:bottom w:val="none" w:sz="0" w:space="0" w:color="auto"/>
                <w:right w:val="none" w:sz="0" w:space="0" w:color="auto"/>
              </w:divBdr>
              <w:divsChild>
                <w:div w:id="5758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096">
      <w:bodyDiv w:val="1"/>
      <w:marLeft w:val="0"/>
      <w:marRight w:val="0"/>
      <w:marTop w:val="0"/>
      <w:marBottom w:val="0"/>
      <w:divBdr>
        <w:top w:val="none" w:sz="0" w:space="0" w:color="auto"/>
        <w:left w:val="none" w:sz="0" w:space="0" w:color="auto"/>
        <w:bottom w:val="none" w:sz="0" w:space="0" w:color="auto"/>
        <w:right w:val="none" w:sz="0" w:space="0" w:color="auto"/>
      </w:divBdr>
      <w:divsChild>
        <w:div w:id="691347230">
          <w:marLeft w:val="0"/>
          <w:marRight w:val="0"/>
          <w:marTop w:val="0"/>
          <w:marBottom w:val="0"/>
          <w:divBdr>
            <w:top w:val="none" w:sz="0" w:space="0" w:color="auto"/>
            <w:left w:val="none" w:sz="0" w:space="0" w:color="auto"/>
            <w:bottom w:val="none" w:sz="0" w:space="0" w:color="auto"/>
            <w:right w:val="none" w:sz="0" w:space="0" w:color="auto"/>
          </w:divBdr>
          <w:divsChild>
            <w:div w:id="566231161">
              <w:marLeft w:val="0"/>
              <w:marRight w:val="0"/>
              <w:marTop w:val="0"/>
              <w:marBottom w:val="0"/>
              <w:divBdr>
                <w:top w:val="none" w:sz="0" w:space="0" w:color="auto"/>
                <w:left w:val="none" w:sz="0" w:space="0" w:color="auto"/>
                <w:bottom w:val="none" w:sz="0" w:space="0" w:color="auto"/>
                <w:right w:val="none" w:sz="0" w:space="0" w:color="auto"/>
              </w:divBdr>
              <w:divsChild>
                <w:div w:id="1203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4026">
      <w:bodyDiv w:val="1"/>
      <w:marLeft w:val="0"/>
      <w:marRight w:val="0"/>
      <w:marTop w:val="0"/>
      <w:marBottom w:val="0"/>
      <w:divBdr>
        <w:top w:val="none" w:sz="0" w:space="0" w:color="auto"/>
        <w:left w:val="none" w:sz="0" w:space="0" w:color="auto"/>
        <w:bottom w:val="none" w:sz="0" w:space="0" w:color="auto"/>
        <w:right w:val="none" w:sz="0" w:space="0" w:color="auto"/>
      </w:divBdr>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4C22E90D3BFC46BCC8A6629FF20EF6" ma:contentTypeVersion="11" ma:contentTypeDescription="Create a new document." ma:contentTypeScope="" ma:versionID="de6579935fd247b964cda1a4f1eff034">
  <xsd:schema xmlns:xsd="http://www.w3.org/2001/XMLSchema" xmlns:xs="http://www.w3.org/2001/XMLSchema" xmlns:p="http://schemas.microsoft.com/office/2006/metadata/properties" xmlns:ns3="0a8257dc-dfad-48a3-a281-cd5b3c20a435" xmlns:ns4="fa047308-b1f9-407c-8d06-2e75a0cb406d" targetNamespace="http://schemas.microsoft.com/office/2006/metadata/properties" ma:root="true" ma:fieldsID="1d0ae9b3a422b8fb8bd9ee5ddbecedb3" ns3:_="" ns4:_="">
    <xsd:import namespace="0a8257dc-dfad-48a3-a281-cd5b3c20a435"/>
    <xsd:import namespace="fa047308-b1f9-407c-8d06-2e75a0cb40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257dc-dfad-48a3-a281-cd5b3c20a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047308-b1f9-407c-8d06-2e75a0cb40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93C7-FF8B-464A-9C53-C8FB683F10FC}">
  <ds:schemaRefs>
    <ds:schemaRef ds:uri="http://schemas.microsoft.com/sharepoint/v3/contenttype/forms"/>
  </ds:schemaRefs>
</ds:datastoreItem>
</file>

<file path=customXml/itemProps2.xml><?xml version="1.0" encoding="utf-8"?>
<ds:datastoreItem xmlns:ds="http://schemas.openxmlformats.org/officeDocument/2006/customXml" ds:itemID="{01126411-5896-4D89-8346-B5A9F1C3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257dc-dfad-48a3-a281-cd5b3c20a435"/>
    <ds:schemaRef ds:uri="fa047308-b1f9-407c-8d06-2e75a0cb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EBEAA-B250-4B8D-9AB5-EF9A525C4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6BC075-E62A-4A6D-A4B1-EEC74B04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2759</Words>
  <Characters>14613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Deborah Serrata</cp:lastModifiedBy>
  <cp:revision>2</cp:revision>
  <cp:lastPrinted>2022-05-02T17:07:00Z</cp:lastPrinted>
  <dcterms:created xsi:type="dcterms:W3CDTF">2022-05-02T22:07:00Z</dcterms:created>
  <dcterms:modified xsi:type="dcterms:W3CDTF">2022-05-02T22:07:00Z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0x010100924C22E90D3BFC46BCC8A6629FF20EF6</vt:lpwstr>
  </property>
  <property fmtid="{D5CDD505-2E9C-101B-9397-08002B2CF9AE}" pid="3" name="SaveLocal">
    <vt:bool>true</vt:bool>
  </property>
</Properties>
</file>