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5052A53B"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Ad</w:t>
            </w:r>
            <w:r w:rsidR="00C76BAA">
              <w:rPr>
                <w:rFonts w:ascii="Times New Roman" w:hAnsi="Times New Roman"/>
                <w:sz w:val="28"/>
                <w:szCs w:val="28"/>
              </w:rPr>
              <w:t>opt</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r w:rsidR="00A03454">
              <w:rPr>
                <w:rFonts w:ascii="Times New Roman" w:hAnsi="Times New Roman"/>
                <w:sz w:val="28"/>
                <w:szCs w:val="28"/>
              </w:rPr>
              <w:t xml:space="preserve">Criminal Procedure </w:t>
            </w:r>
            <w:bookmarkEnd w:id="1"/>
            <w:r w:rsidR="00C76BAA">
              <w:rPr>
                <w:rFonts w:ascii="Times New Roman" w:hAnsi="Times New Roman"/>
                <w:sz w:val="28"/>
                <w:szCs w:val="28"/>
              </w:rPr>
              <w:t>2</w:t>
            </w:r>
            <w:r w:rsidR="00A03454">
              <w:rPr>
                <w:rFonts w:ascii="Times New Roman" w:hAnsi="Times New Roman"/>
                <w:sz w:val="28"/>
                <w:szCs w:val="28"/>
              </w:rPr>
              <w:t>.</w:t>
            </w:r>
            <w:r w:rsidR="00C76BAA">
              <w:rPr>
                <w:rFonts w:ascii="Times New Roman" w:hAnsi="Times New Roman"/>
                <w:sz w:val="28"/>
                <w:szCs w:val="28"/>
              </w:rPr>
              <w:t>6</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65817086"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21-00</w:t>
            </w:r>
            <w:r w:rsidR="00A03454">
              <w:rPr>
                <w:rFonts w:ascii="Times New Roman" w:hAnsi="Times New Roman"/>
                <w:sz w:val="28"/>
                <w:szCs w:val="28"/>
              </w:rPr>
              <w:t>5</w:t>
            </w:r>
            <w:r w:rsidR="002C54D2">
              <w:rPr>
                <w:rFonts w:ascii="Times New Roman" w:hAnsi="Times New Roman"/>
                <w:sz w:val="28"/>
                <w:szCs w:val="28"/>
              </w:rPr>
              <w:t>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7D6F34A1"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AD</w:t>
            </w:r>
            <w:r w:rsidR="00C76BAA">
              <w:rPr>
                <w:rFonts w:ascii="Times New Roman" w:hAnsi="Times New Roman"/>
                <w:b/>
                <w:sz w:val="28"/>
                <w:szCs w:val="28"/>
              </w:rPr>
              <w:t>OPT</w:t>
            </w:r>
            <w:r w:rsidR="00DC38DE" w:rsidRPr="0014499B">
              <w:rPr>
                <w:rFonts w:ascii="Times New Roman" w:hAnsi="Times New Roman"/>
                <w:b/>
                <w:sz w:val="28"/>
                <w:szCs w:val="28"/>
              </w:rPr>
              <w:t xml:space="preserve"> ARIZONA RULE OF </w:t>
            </w:r>
            <w:r w:rsidR="00A03454">
              <w:rPr>
                <w:rFonts w:ascii="Times New Roman" w:hAnsi="Times New Roman"/>
                <w:b/>
                <w:sz w:val="28"/>
                <w:szCs w:val="28"/>
              </w:rPr>
              <w:t>CRIMINAL PROCEDURE</w:t>
            </w:r>
            <w:r w:rsidR="0041704C">
              <w:rPr>
                <w:rFonts w:ascii="Times New Roman" w:hAnsi="Times New Roman"/>
                <w:b/>
                <w:sz w:val="28"/>
                <w:szCs w:val="28"/>
              </w:rPr>
              <w:t xml:space="preserve"> </w:t>
            </w:r>
            <w:r w:rsidR="00C76BAA">
              <w:rPr>
                <w:rFonts w:ascii="Times New Roman" w:hAnsi="Times New Roman"/>
                <w:b/>
                <w:sz w:val="28"/>
                <w:szCs w:val="28"/>
              </w:rPr>
              <w:t>2</w:t>
            </w:r>
            <w:r w:rsidR="00A03454">
              <w:rPr>
                <w:rFonts w:ascii="Times New Roman" w:hAnsi="Times New Roman"/>
                <w:b/>
                <w:sz w:val="28"/>
                <w:szCs w:val="28"/>
              </w:rPr>
              <w:t>.</w:t>
            </w:r>
            <w:r w:rsidR="00C76BAA">
              <w:rPr>
                <w:rFonts w:ascii="Times New Roman" w:hAnsi="Times New Roman"/>
                <w:b/>
                <w:sz w:val="28"/>
                <w:szCs w:val="28"/>
              </w:rPr>
              <w:t>6</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35231C66"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C76BAA">
        <w:rPr>
          <w:rFonts w:ascii="Times New Roman" w:hAnsi="Times New Roman"/>
          <w:sz w:val="28"/>
          <w:szCs w:val="28"/>
        </w:rPr>
        <w:t>adopt</w:t>
      </w:r>
      <w:r w:rsidR="00A74317">
        <w:rPr>
          <w:rFonts w:ascii="Times New Roman" w:hAnsi="Times New Roman"/>
          <w:sz w:val="28"/>
          <w:szCs w:val="28"/>
        </w:rPr>
        <w:t xml:space="preserve"> Arizona Rule of </w:t>
      </w:r>
      <w:r w:rsidR="00A03454">
        <w:rPr>
          <w:rFonts w:ascii="Times New Roman" w:hAnsi="Times New Roman"/>
          <w:sz w:val="28"/>
          <w:szCs w:val="28"/>
        </w:rPr>
        <w:t xml:space="preserve">Criminal Procedure </w:t>
      </w:r>
      <w:r w:rsidR="00C76BAA">
        <w:rPr>
          <w:rFonts w:ascii="Times New Roman" w:hAnsi="Times New Roman"/>
          <w:sz w:val="28"/>
          <w:szCs w:val="28"/>
        </w:rPr>
        <w:t>2</w:t>
      </w:r>
      <w:r w:rsidR="00A03454">
        <w:rPr>
          <w:rFonts w:ascii="Times New Roman" w:hAnsi="Times New Roman"/>
          <w:sz w:val="28"/>
          <w:szCs w:val="28"/>
        </w:rPr>
        <w:t>.</w:t>
      </w:r>
      <w:r w:rsidR="00C76BAA">
        <w:rPr>
          <w:rFonts w:ascii="Times New Roman" w:hAnsi="Times New Roman"/>
          <w:sz w:val="28"/>
          <w:szCs w:val="28"/>
        </w:rPr>
        <w:t>6</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41003F64" w14:textId="12B23B52" w:rsidR="00C205F1" w:rsidRDefault="00A03454"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C76BAA">
        <w:rPr>
          <w:rFonts w:ascii="Times New Roman" w:hAnsi="Times New Roman"/>
          <w:sz w:val="28"/>
          <w:szCs w:val="28"/>
        </w:rPr>
        <w:t xml:space="preserve">supports the </w:t>
      </w:r>
      <w:r w:rsidR="005E11F3">
        <w:rPr>
          <w:rFonts w:ascii="Times New Roman" w:hAnsi="Times New Roman"/>
          <w:sz w:val="28"/>
          <w:szCs w:val="28"/>
        </w:rPr>
        <w:t>proposal, as well as the Report</w:t>
      </w:r>
      <w:r w:rsidR="00C76BAA">
        <w:rPr>
          <w:rFonts w:ascii="Times New Roman" w:hAnsi="Times New Roman"/>
          <w:sz w:val="28"/>
          <w:szCs w:val="28"/>
        </w:rPr>
        <w:t xml:space="preserve"> of the Task Force on Issuing Search Warrants.</w:t>
      </w:r>
      <w:r w:rsidR="005E11F3">
        <w:rPr>
          <w:rFonts w:ascii="Times New Roman" w:hAnsi="Times New Roman"/>
          <w:sz w:val="28"/>
          <w:szCs w:val="28"/>
        </w:rPr>
        <w:t xml:space="preserve"> By adopting this rule, this Court would take an unprecedented step toward policing and monitoring how judges issue search warrants. To say “unprecedented” does not imply that the proposal is without legal authority. On the contrary, the Task Force recognized the proper role of judicial rulemaking in this arena and did not attempt to overstep its bounds by encroaching on the powers bestowed upon the other branches of government. Similarly, the Task Force did not attempt to solve all </w:t>
      </w:r>
      <w:r w:rsidR="00836008">
        <w:rPr>
          <w:rFonts w:ascii="Times New Roman" w:hAnsi="Times New Roman"/>
          <w:sz w:val="28"/>
          <w:szCs w:val="28"/>
        </w:rPr>
        <w:t xml:space="preserve">societal </w:t>
      </w:r>
      <w:r w:rsidR="005E11F3">
        <w:rPr>
          <w:rFonts w:ascii="Times New Roman" w:hAnsi="Times New Roman"/>
          <w:sz w:val="28"/>
          <w:szCs w:val="28"/>
        </w:rPr>
        <w:t xml:space="preserve">problems through </w:t>
      </w:r>
      <w:r w:rsidR="00836008">
        <w:rPr>
          <w:rFonts w:ascii="Times New Roman" w:hAnsi="Times New Roman"/>
          <w:sz w:val="28"/>
          <w:szCs w:val="28"/>
        </w:rPr>
        <w:t>the</w:t>
      </w:r>
      <w:r w:rsidR="005E11F3">
        <w:rPr>
          <w:rFonts w:ascii="Times New Roman" w:hAnsi="Times New Roman"/>
          <w:sz w:val="28"/>
          <w:szCs w:val="28"/>
        </w:rPr>
        <w:t xml:space="preserve"> rule change</w:t>
      </w:r>
      <w:r w:rsidR="00836008">
        <w:rPr>
          <w:rFonts w:ascii="Times New Roman" w:hAnsi="Times New Roman"/>
          <w:sz w:val="28"/>
          <w:szCs w:val="28"/>
        </w:rPr>
        <w:t xml:space="preserve"> process</w:t>
      </w:r>
      <w:r w:rsidR="005E11F3">
        <w:rPr>
          <w:rFonts w:ascii="Times New Roman" w:hAnsi="Times New Roman"/>
          <w:sz w:val="28"/>
          <w:szCs w:val="28"/>
        </w:rPr>
        <w:t>. In short, this is a laudable step forward.</w:t>
      </w:r>
      <w:r w:rsidR="00C205F1">
        <w:rPr>
          <w:rFonts w:ascii="Times New Roman" w:hAnsi="Times New Roman"/>
          <w:sz w:val="28"/>
          <w:szCs w:val="28"/>
        </w:rPr>
        <w:t xml:space="preserve"> </w:t>
      </w:r>
    </w:p>
    <w:p w14:paraId="539E183B" w14:textId="77C75DAC" w:rsidR="005F145E" w:rsidRDefault="005E11F3"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With that said, AACJ </w:t>
      </w:r>
      <w:r w:rsidR="00B515D5">
        <w:rPr>
          <w:rFonts w:ascii="Times New Roman" w:hAnsi="Times New Roman"/>
          <w:sz w:val="28"/>
          <w:szCs w:val="28"/>
        </w:rPr>
        <w:t xml:space="preserve">also </w:t>
      </w:r>
      <w:r>
        <w:rPr>
          <w:rFonts w:ascii="Times New Roman" w:hAnsi="Times New Roman"/>
          <w:sz w:val="28"/>
          <w:szCs w:val="28"/>
        </w:rPr>
        <w:t>recognizes that proposed Rule 2.6</w:t>
      </w:r>
      <w:r w:rsidR="00836008">
        <w:rPr>
          <w:rFonts w:ascii="Times New Roman" w:hAnsi="Times New Roman"/>
          <w:sz w:val="28"/>
          <w:szCs w:val="28"/>
        </w:rPr>
        <w:t>, while</w:t>
      </w:r>
      <w:r>
        <w:rPr>
          <w:rFonts w:ascii="Times New Roman" w:hAnsi="Times New Roman"/>
          <w:sz w:val="28"/>
          <w:szCs w:val="28"/>
        </w:rPr>
        <w:t xml:space="preserve"> a</w:t>
      </w:r>
      <w:r w:rsidR="00836008">
        <w:rPr>
          <w:rFonts w:ascii="Times New Roman" w:hAnsi="Times New Roman"/>
          <w:sz w:val="28"/>
          <w:szCs w:val="28"/>
        </w:rPr>
        <w:t>n important</w:t>
      </w:r>
      <w:r>
        <w:rPr>
          <w:rFonts w:ascii="Times New Roman" w:hAnsi="Times New Roman"/>
          <w:sz w:val="28"/>
          <w:szCs w:val="28"/>
        </w:rPr>
        <w:t xml:space="preserve"> step in</w:t>
      </w:r>
      <w:r w:rsidR="00B515D5">
        <w:rPr>
          <w:rFonts w:ascii="Times New Roman" w:hAnsi="Times New Roman"/>
          <w:sz w:val="28"/>
          <w:szCs w:val="28"/>
        </w:rPr>
        <w:t xml:space="preserve"> the right direction</w:t>
      </w:r>
      <w:r w:rsidR="00836008">
        <w:rPr>
          <w:rFonts w:ascii="Times New Roman" w:hAnsi="Times New Roman"/>
          <w:sz w:val="28"/>
          <w:szCs w:val="28"/>
        </w:rPr>
        <w:t>,</w:t>
      </w:r>
      <w:r w:rsidR="00B515D5">
        <w:rPr>
          <w:rFonts w:ascii="Times New Roman" w:hAnsi="Times New Roman"/>
          <w:sz w:val="28"/>
          <w:szCs w:val="28"/>
        </w:rPr>
        <w:t xml:space="preserve"> should not be the end of the line on this issue.</w:t>
      </w:r>
      <w:r w:rsidR="005F145E">
        <w:rPr>
          <w:rFonts w:ascii="Times New Roman" w:hAnsi="Times New Roman"/>
          <w:sz w:val="28"/>
          <w:szCs w:val="28"/>
        </w:rPr>
        <w:t xml:space="preserve"> The Task Force minimized the occurrence of “a team of SWAT officers forcibly breaking down a door and firing flash grenades, i.e., a ‘dynamic entry,</w:t>
      </w:r>
      <w:r w:rsidR="00836008">
        <w:rPr>
          <w:rFonts w:ascii="Times New Roman" w:hAnsi="Times New Roman"/>
          <w:sz w:val="28"/>
          <w:szCs w:val="28"/>
        </w:rPr>
        <w:t>’</w:t>
      </w:r>
      <w:r w:rsidR="005F145E">
        <w:rPr>
          <w:rFonts w:ascii="Times New Roman" w:hAnsi="Times New Roman"/>
          <w:sz w:val="28"/>
          <w:szCs w:val="28"/>
        </w:rPr>
        <w:t>” Report at 2, but the experience of AACJ members is much different. For example, in one prominent case decided by this Court, the court of appeals described the circumstances of the service of the warrant:</w:t>
      </w:r>
    </w:p>
    <w:p w14:paraId="045584FF" w14:textId="2FE24911" w:rsidR="00094BC9" w:rsidRDefault="005F145E" w:rsidP="005F145E">
      <w:pPr>
        <w:spacing w:line="240" w:lineRule="auto"/>
        <w:ind w:left="720" w:right="720"/>
        <w:jc w:val="both"/>
        <w:rPr>
          <w:rFonts w:ascii="Times New Roman" w:hAnsi="Times New Roman"/>
          <w:sz w:val="28"/>
          <w:szCs w:val="28"/>
        </w:rPr>
      </w:pPr>
      <w:r>
        <w:rPr>
          <w:rFonts w:ascii="Times New Roman" w:hAnsi="Times New Roman"/>
          <w:sz w:val="28"/>
          <w:szCs w:val="28"/>
        </w:rPr>
        <w:t>[</w:t>
      </w:r>
      <w:r w:rsidRPr="005F145E">
        <w:rPr>
          <w:rFonts w:ascii="Times New Roman" w:hAnsi="Times New Roman"/>
          <w:sz w:val="28"/>
          <w:szCs w:val="28"/>
        </w:rPr>
        <w:t>T</w:t>
      </w:r>
      <w:r>
        <w:rPr>
          <w:rFonts w:ascii="Times New Roman" w:hAnsi="Times New Roman"/>
          <w:sz w:val="28"/>
          <w:szCs w:val="28"/>
        </w:rPr>
        <w:t>]</w:t>
      </w:r>
      <w:r w:rsidRPr="005F145E">
        <w:rPr>
          <w:rFonts w:ascii="Times New Roman" w:hAnsi="Times New Roman"/>
          <w:sz w:val="28"/>
          <w:szCs w:val="28"/>
        </w:rPr>
        <w:t xml:space="preserve">he record here underscores the fallibility of such sensory impressions. Police officers initially were mistaken about the location of the marijuana based on its odor, and they consequently deployed a SWAT team to the wrong building. </w:t>
      </w:r>
    </w:p>
    <w:p w14:paraId="1110AC7E" w14:textId="77777777" w:rsidR="005F145E" w:rsidRDefault="005F145E" w:rsidP="005F145E">
      <w:pPr>
        <w:spacing w:line="240" w:lineRule="auto"/>
        <w:ind w:left="720" w:right="720"/>
        <w:jc w:val="both"/>
        <w:rPr>
          <w:rFonts w:ascii="Times New Roman" w:hAnsi="Times New Roman"/>
          <w:sz w:val="28"/>
          <w:szCs w:val="28"/>
        </w:rPr>
      </w:pPr>
    </w:p>
    <w:p w14:paraId="26442F7B" w14:textId="6500D459" w:rsidR="005F145E" w:rsidRDefault="005F145E" w:rsidP="005F145E">
      <w:pPr>
        <w:spacing w:line="480" w:lineRule="auto"/>
        <w:jc w:val="both"/>
        <w:rPr>
          <w:rFonts w:ascii="Times New Roman" w:hAnsi="Times New Roman"/>
          <w:sz w:val="28"/>
          <w:szCs w:val="28"/>
        </w:rPr>
      </w:pPr>
      <w:r w:rsidRPr="005F145E">
        <w:rPr>
          <w:rFonts w:ascii="Times New Roman" w:hAnsi="Times New Roman"/>
          <w:i/>
          <w:sz w:val="28"/>
          <w:szCs w:val="28"/>
        </w:rPr>
        <w:t>State v. Sisco</w:t>
      </w:r>
      <w:r>
        <w:rPr>
          <w:rFonts w:ascii="Times New Roman" w:hAnsi="Times New Roman"/>
          <w:sz w:val="28"/>
          <w:szCs w:val="28"/>
        </w:rPr>
        <w:t xml:space="preserve">, 238 Ariz. 229, 240 ¶ 35 (App. 2015), </w:t>
      </w:r>
      <w:r w:rsidRPr="005F145E">
        <w:rPr>
          <w:rFonts w:ascii="Times New Roman" w:hAnsi="Times New Roman"/>
          <w:i/>
          <w:sz w:val="28"/>
          <w:szCs w:val="28"/>
        </w:rPr>
        <w:t>vacated</w:t>
      </w:r>
      <w:r>
        <w:rPr>
          <w:rFonts w:ascii="Times New Roman" w:hAnsi="Times New Roman"/>
          <w:sz w:val="28"/>
          <w:szCs w:val="28"/>
        </w:rPr>
        <w:t>, 239 Ariz. 532 (2016).</w:t>
      </w:r>
      <w:r w:rsidR="00B521D5">
        <w:rPr>
          <w:rFonts w:ascii="Times New Roman" w:hAnsi="Times New Roman"/>
          <w:sz w:val="28"/>
          <w:szCs w:val="28"/>
        </w:rPr>
        <w:t xml:space="preserve"> In that case, the officer who contacted a judge by telephone did not request unannounced entry at all, but police used a SWAT team anyway.</w:t>
      </w:r>
      <w:r w:rsidR="00836008">
        <w:rPr>
          <w:rStyle w:val="FootnoteReference"/>
          <w:rFonts w:ascii="Times New Roman" w:hAnsi="Times New Roman"/>
          <w:sz w:val="28"/>
          <w:szCs w:val="28"/>
        </w:rPr>
        <w:footnoteReference w:id="1"/>
      </w:r>
      <w:r w:rsidR="00B521D5">
        <w:rPr>
          <w:rFonts w:ascii="Times New Roman" w:hAnsi="Times New Roman"/>
          <w:sz w:val="28"/>
          <w:szCs w:val="28"/>
        </w:rPr>
        <w:t xml:space="preserve"> In the future, this Court should consider rules or other remedies for such blatant violations of the Fourth Amendment and A.R.S. § 13-3915(B).</w:t>
      </w:r>
    </w:p>
    <w:p w14:paraId="16FECF02" w14:textId="064B93F2" w:rsidR="00C205F1" w:rsidRDefault="00C205F1" w:rsidP="001D0E6C">
      <w:pPr>
        <w:spacing w:line="480" w:lineRule="auto"/>
        <w:ind w:firstLine="720"/>
        <w:jc w:val="both"/>
        <w:rPr>
          <w:rFonts w:ascii="Times New Roman" w:hAnsi="Times New Roman"/>
          <w:sz w:val="28"/>
          <w:szCs w:val="28"/>
        </w:rPr>
      </w:pPr>
      <w:r>
        <w:rPr>
          <w:rFonts w:ascii="Times New Roman" w:hAnsi="Times New Roman"/>
          <w:sz w:val="28"/>
          <w:szCs w:val="28"/>
        </w:rPr>
        <w:t>AACJ also sees some areas for improvement in the text of the proposal. AACJ makes the following suggestions:</w:t>
      </w:r>
    </w:p>
    <w:p w14:paraId="7CAF090D" w14:textId="73FB1B72" w:rsidR="00C205F1" w:rsidRDefault="00C205F1" w:rsidP="001D0E6C">
      <w:pPr>
        <w:spacing w:line="480" w:lineRule="auto"/>
        <w:ind w:firstLine="720"/>
        <w:jc w:val="both"/>
        <w:rPr>
          <w:rFonts w:ascii="Times New Roman" w:hAnsi="Times New Roman"/>
          <w:sz w:val="28"/>
          <w:szCs w:val="28"/>
        </w:rPr>
      </w:pPr>
      <w:r>
        <w:rPr>
          <w:rFonts w:ascii="Times New Roman" w:hAnsi="Times New Roman"/>
          <w:sz w:val="28"/>
          <w:szCs w:val="28"/>
        </w:rPr>
        <w:t>1) In Rule 2.6(b</w:t>
      </w:r>
      <w:proofErr w:type="gramStart"/>
      <w:r>
        <w:rPr>
          <w:rFonts w:ascii="Times New Roman" w:hAnsi="Times New Roman"/>
          <w:sz w:val="28"/>
          <w:szCs w:val="28"/>
        </w:rPr>
        <w:t>)(</w:t>
      </w:r>
      <w:proofErr w:type="gramEnd"/>
      <w:r>
        <w:rPr>
          <w:rFonts w:ascii="Times New Roman" w:hAnsi="Times New Roman"/>
          <w:sz w:val="28"/>
          <w:szCs w:val="28"/>
        </w:rPr>
        <w:t xml:space="preserve">2), the </w:t>
      </w:r>
      <w:r w:rsidR="00B521D5">
        <w:rPr>
          <w:rFonts w:ascii="Times New Roman" w:hAnsi="Times New Roman"/>
          <w:sz w:val="28"/>
          <w:szCs w:val="28"/>
        </w:rPr>
        <w:t xml:space="preserve">affiant / </w:t>
      </w:r>
      <w:r>
        <w:rPr>
          <w:rFonts w:ascii="Times New Roman" w:hAnsi="Times New Roman"/>
          <w:sz w:val="28"/>
          <w:szCs w:val="28"/>
        </w:rPr>
        <w:t xml:space="preserve">requestor of an unannounced-entry warrant should demonstrate not only “why an announced entry would endanger the safety of any person or would result in the destruction of evidence…” but also whether law enforcement could choose to serve the warrant under circumstances that would reduce those risks. This Court has noted that law enforcement cannot create its own exigency, </w:t>
      </w:r>
      <w:r w:rsidR="005F145E" w:rsidRPr="005F145E">
        <w:rPr>
          <w:rFonts w:ascii="Times New Roman" w:hAnsi="Times New Roman"/>
          <w:i/>
          <w:sz w:val="28"/>
          <w:szCs w:val="28"/>
        </w:rPr>
        <w:t>State v. Ault</w:t>
      </w:r>
      <w:r w:rsidR="005F145E">
        <w:rPr>
          <w:rFonts w:ascii="Times New Roman" w:hAnsi="Times New Roman"/>
          <w:sz w:val="28"/>
          <w:szCs w:val="28"/>
        </w:rPr>
        <w:t>, 150 Ariz. 459, 463 (1986), and likewise it should not be allowed to increase the risks inherent in a “dynamic entry” when a less risky process is readily available.</w:t>
      </w:r>
      <w:r w:rsidR="00B521D5">
        <w:rPr>
          <w:rFonts w:ascii="Times New Roman" w:hAnsi="Times New Roman"/>
          <w:sz w:val="28"/>
          <w:szCs w:val="28"/>
        </w:rPr>
        <w:t xml:space="preserve"> At a minimum, unless there are exigent circumstances, law enforcement should be expected to conduct surveillance on the location to be searched to attempt to determine the necessity for a “dynamic entry.” </w:t>
      </w:r>
      <w:r w:rsidR="00BB39E6">
        <w:rPr>
          <w:rFonts w:ascii="Times New Roman" w:hAnsi="Times New Roman"/>
          <w:sz w:val="28"/>
          <w:szCs w:val="28"/>
        </w:rPr>
        <w:t xml:space="preserve">In fact, Rule </w:t>
      </w:r>
      <w:r w:rsidR="00BB39E6">
        <w:rPr>
          <w:rFonts w:ascii="Times New Roman" w:hAnsi="Times New Roman"/>
          <w:sz w:val="28"/>
          <w:szCs w:val="28"/>
        </w:rPr>
        <w:lastRenderedPageBreak/>
        <w:t xml:space="preserve">2.6(c) presumes that the affiant already knows this information, or at least has made a </w:t>
      </w:r>
      <w:r w:rsidR="00050775">
        <w:rPr>
          <w:rFonts w:ascii="Times New Roman" w:hAnsi="Times New Roman"/>
          <w:sz w:val="28"/>
          <w:szCs w:val="28"/>
        </w:rPr>
        <w:t>good-faith attempt to obtain it, so requiring the affiant to include that information in the request for a dynamic entry warrant should pose no hardship.</w:t>
      </w:r>
    </w:p>
    <w:p w14:paraId="6FE434B0" w14:textId="481F6865" w:rsidR="00BB39E6" w:rsidRDefault="00BB39E6" w:rsidP="001D0E6C">
      <w:pPr>
        <w:spacing w:line="480" w:lineRule="auto"/>
        <w:ind w:firstLine="720"/>
        <w:jc w:val="both"/>
        <w:rPr>
          <w:rFonts w:ascii="Times New Roman" w:hAnsi="Times New Roman"/>
          <w:sz w:val="28"/>
          <w:szCs w:val="28"/>
        </w:rPr>
      </w:pPr>
      <w:r>
        <w:rPr>
          <w:rFonts w:ascii="Times New Roman" w:hAnsi="Times New Roman"/>
          <w:sz w:val="28"/>
          <w:szCs w:val="28"/>
        </w:rPr>
        <w:t>2) In Rule 2.6(c), the list of factors provides virtually no guidance as to how those factors should be considered and most of them are so vague that their consideration would necessarily result in a judicial preference toward granting unannounced entry</w:t>
      </w:r>
      <w:r w:rsidR="00783BC1">
        <w:rPr>
          <w:rFonts w:ascii="Times New Roman" w:hAnsi="Times New Roman"/>
          <w:sz w:val="28"/>
          <w:szCs w:val="28"/>
        </w:rPr>
        <w:t>, particularly for drug crimes</w:t>
      </w:r>
      <w:r>
        <w:rPr>
          <w:rFonts w:ascii="Times New Roman" w:hAnsi="Times New Roman"/>
          <w:sz w:val="28"/>
          <w:szCs w:val="28"/>
        </w:rPr>
        <w:t xml:space="preserve">. For example, there is enough of a belief that </w:t>
      </w:r>
      <w:r w:rsidR="00783BC1">
        <w:rPr>
          <w:rFonts w:ascii="Times New Roman" w:hAnsi="Times New Roman"/>
          <w:sz w:val="28"/>
          <w:szCs w:val="28"/>
        </w:rPr>
        <w:t>selling drugs alone is sufficiently serious to support a finding that the seller is inherently dangerous. And because some drug users and sellers carry weapons to protect themselves, the affiant will almost certainly include a statement that the suspect may be armed</w:t>
      </w:r>
      <w:r w:rsidR="00836008">
        <w:rPr>
          <w:rFonts w:ascii="Times New Roman" w:hAnsi="Times New Roman"/>
          <w:sz w:val="28"/>
          <w:szCs w:val="28"/>
        </w:rPr>
        <w:t>, without regard to the particular suspect</w:t>
      </w:r>
      <w:r w:rsidR="00783BC1">
        <w:rPr>
          <w:rFonts w:ascii="Times New Roman" w:hAnsi="Times New Roman"/>
          <w:sz w:val="28"/>
          <w:szCs w:val="28"/>
        </w:rPr>
        <w:t>.</w:t>
      </w:r>
    </w:p>
    <w:p w14:paraId="4AF18594" w14:textId="4F855225" w:rsidR="00783BC1" w:rsidRDefault="00783BC1"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3) Rule 2.6(f) requires each court to assemble data as to four categories enumerated in Rule 2.6(e). </w:t>
      </w:r>
      <w:r w:rsidR="00E9409C">
        <w:rPr>
          <w:rFonts w:ascii="Times New Roman" w:hAnsi="Times New Roman"/>
          <w:sz w:val="28"/>
          <w:szCs w:val="28"/>
        </w:rPr>
        <w:t xml:space="preserve">After receiving the statement from law enforcement pursuant to Rule 2.6(e), the court should then review the statement and create two additional categories by subdividing </w:t>
      </w:r>
      <w:r>
        <w:rPr>
          <w:rFonts w:ascii="Times New Roman" w:hAnsi="Times New Roman"/>
          <w:sz w:val="28"/>
          <w:szCs w:val="28"/>
        </w:rPr>
        <w:t>Subsections (2) and (4)</w:t>
      </w:r>
      <w:r w:rsidR="00E9409C">
        <w:rPr>
          <w:rFonts w:ascii="Times New Roman" w:hAnsi="Times New Roman"/>
          <w:sz w:val="28"/>
          <w:szCs w:val="28"/>
        </w:rPr>
        <w:t>.</w:t>
      </w:r>
      <w:r>
        <w:rPr>
          <w:rFonts w:ascii="Times New Roman" w:hAnsi="Times New Roman"/>
          <w:sz w:val="28"/>
          <w:szCs w:val="28"/>
        </w:rPr>
        <w:t xml:space="preserve"> </w:t>
      </w:r>
      <w:r w:rsidR="00E9409C">
        <w:rPr>
          <w:rFonts w:ascii="Times New Roman" w:hAnsi="Times New Roman"/>
          <w:sz w:val="28"/>
          <w:szCs w:val="28"/>
        </w:rPr>
        <w:t xml:space="preserve">The court needs to assemble data </w:t>
      </w:r>
      <w:r>
        <w:rPr>
          <w:rFonts w:ascii="Times New Roman" w:hAnsi="Times New Roman"/>
          <w:sz w:val="28"/>
          <w:szCs w:val="28"/>
        </w:rPr>
        <w:t>on warrants that are executed by unannounced entry with authorization separately from those without authorization</w:t>
      </w:r>
      <w:r w:rsidR="00836008">
        <w:rPr>
          <w:rFonts w:ascii="Times New Roman" w:hAnsi="Times New Roman"/>
          <w:sz w:val="28"/>
          <w:szCs w:val="28"/>
        </w:rPr>
        <w:t xml:space="preserve"> (to account for cases such as </w:t>
      </w:r>
      <w:r w:rsidR="00836008" w:rsidRPr="00836008">
        <w:rPr>
          <w:rFonts w:ascii="Times New Roman" w:hAnsi="Times New Roman"/>
          <w:i/>
          <w:sz w:val="28"/>
          <w:szCs w:val="28"/>
        </w:rPr>
        <w:t>Sisco</w:t>
      </w:r>
      <w:r w:rsidR="00836008">
        <w:rPr>
          <w:rFonts w:ascii="Times New Roman" w:hAnsi="Times New Roman"/>
          <w:sz w:val="28"/>
          <w:szCs w:val="28"/>
        </w:rPr>
        <w:t>)</w:t>
      </w:r>
      <w:r w:rsidR="00E9409C">
        <w:rPr>
          <w:rFonts w:ascii="Times New Roman" w:hAnsi="Times New Roman"/>
          <w:sz w:val="28"/>
          <w:szCs w:val="28"/>
        </w:rPr>
        <w:t>, and likewise for nighttime-entry warrants</w:t>
      </w:r>
      <w:r>
        <w:rPr>
          <w:rFonts w:ascii="Times New Roman" w:hAnsi="Times New Roman"/>
          <w:sz w:val="28"/>
          <w:szCs w:val="28"/>
        </w:rPr>
        <w:t xml:space="preserve">. </w:t>
      </w:r>
    </w:p>
    <w:p w14:paraId="3DD3BAB3" w14:textId="678A9155" w:rsidR="00E9409C" w:rsidRDefault="00E9409C"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The Task Force recognized that several recent cases have held that officers’ violation of the requirement to seek judicial approval for nighttime service and/or </w:t>
      </w:r>
      <w:r>
        <w:rPr>
          <w:rFonts w:ascii="Times New Roman" w:hAnsi="Times New Roman"/>
          <w:sz w:val="28"/>
          <w:szCs w:val="28"/>
        </w:rPr>
        <w:lastRenderedPageBreak/>
        <w:t xml:space="preserve">unannounced entry does not require suppression of evidence in a criminal trial. Report at 3-4. It recognized that there are some lawsuits against law enforcement for violation of civil rights, </w:t>
      </w:r>
      <w:r w:rsidRPr="00E9409C">
        <w:rPr>
          <w:rFonts w:ascii="Times New Roman" w:hAnsi="Times New Roman"/>
          <w:i/>
          <w:sz w:val="28"/>
          <w:szCs w:val="28"/>
        </w:rPr>
        <w:t>id</w:t>
      </w:r>
      <w:r>
        <w:rPr>
          <w:rFonts w:ascii="Times New Roman" w:hAnsi="Times New Roman"/>
          <w:sz w:val="28"/>
          <w:szCs w:val="28"/>
        </w:rPr>
        <w:t xml:space="preserve">. </w:t>
      </w:r>
      <w:proofErr w:type="gramStart"/>
      <w:r>
        <w:rPr>
          <w:rFonts w:ascii="Times New Roman" w:hAnsi="Times New Roman"/>
          <w:sz w:val="28"/>
          <w:szCs w:val="28"/>
        </w:rPr>
        <w:t>at</w:t>
      </w:r>
      <w:proofErr w:type="gramEnd"/>
      <w:r>
        <w:rPr>
          <w:rFonts w:ascii="Times New Roman" w:hAnsi="Times New Roman"/>
          <w:sz w:val="28"/>
          <w:szCs w:val="28"/>
        </w:rPr>
        <w:t xml:space="preserve"> 11 n.7, but it failed to note that the U.S. Supreme Court has largely stripped citizens of their right to sue police officers who act illegally</w:t>
      </w:r>
      <w:r w:rsidR="000574A7">
        <w:rPr>
          <w:rFonts w:ascii="Times New Roman" w:hAnsi="Times New Roman"/>
          <w:sz w:val="28"/>
          <w:szCs w:val="28"/>
        </w:rPr>
        <w:t xml:space="preserve"> through a recently expanded view of the doctrine of qualified immunity</w:t>
      </w:r>
      <w:r>
        <w:rPr>
          <w:rFonts w:ascii="Times New Roman" w:hAnsi="Times New Roman"/>
          <w:sz w:val="28"/>
          <w:szCs w:val="28"/>
        </w:rPr>
        <w:t xml:space="preserve">. </w:t>
      </w:r>
      <w:r w:rsidRPr="00E9409C">
        <w:rPr>
          <w:rFonts w:ascii="Times New Roman" w:hAnsi="Times New Roman"/>
          <w:i/>
          <w:sz w:val="28"/>
          <w:szCs w:val="28"/>
        </w:rPr>
        <w:t>See</w:t>
      </w:r>
      <w:r>
        <w:rPr>
          <w:rFonts w:ascii="Times New Roman" w:hAnsi="Times New Roman"/>
          <w:sz w:val="28"/>
          <w:szCs w:val="28"/>
        </w:rPr>
        <w:t xml:space="preserve"> David J. Euchner and Barbara E. Bergman, </w:t>
      </w:r>
      <w:r w:rsidRPr="00E9409C">
        <w:rPr>
          <w:rFonts w:ascii="Times New Roman" w:hAnsi="Times New Roman"/>
          <w:smallCaps/>
          <w:sz w:val="28"/>
          <w:szCs w:val="28"/>
        </w:rPr>
        <w:t>Arizona Criminal Practice Manual</w:t>
      </w:r>
      <w:r>
        <w:rPr>
          <w:rFonts w:ascii="Times New Roman" w:hAnsi="Times New Roman"/>
          <w:sz w:val="28"/>
          <w:szCs w:val="28"/>
        </w:rPr>
        <w:t xml:space="preserve"> (2021 ed.), § 14:1</w:t>
      </w:r>
      <w:r w:rsidR="000574A7">
        <w:rPr>
          <w:rFonts w:ascii="Times New Roman" w:hAnsi="Times New Roman"/>
          <w:sz w:val="28"/>
          <w:szCs w:val="28"/>
        </w:rPr>
        <w:t xml:space="preserve"> &amp; n.22 (citing </w:t>
      </w:r>
      <w:r w:rsidR="000574A7" w:rsidRPr="000574A7">
        <w:rPr>
          <w:rFonts w:ascii="Times New Roman" w:hAnsi="Times New Roman"/>
          <w:i/>
          <w:sz w:val="28"/>
          <w:szCs w:val="28"/>
        </w:rPr>
        <w:t>Safford Unified School Dist. No. 1 v. Redding</w:t>
      </w:r>
      <w:r w:rsidR="000574A7">
        <w:rPr>
          <w:rFonts w:ascii="Times New Roman" w:hAnsi="Times New Roman"/>
          <w:sz w:val="28"/>
          <w:szCs w:val="28"/>
        </w:rPr>
        <w:t xml:space="preserve">, 557 U.S. 364 (2009); </w:t>
      </w:r>
      <w:r w:rsidR="000574A7" w:rsidRPr="000574A7">
        <w:rPr>
          <w:rFonts w:ascii="Times New Roman" w:hAnsi="Times New Roman"/>
          <w:i/>
          <w:sz w:val="28"/>
          <w:szCs w:val="28"/>
        </w:rPr>
        <w:t>Kisela v. Hughes</w:t>
      </w:r>
      <w:r w:rsidR="000574A7">
        <w:rPr>
          <w:rFonts w:ascii="Times New Roman" w:hAnsi="Times New Roman"/>
          <w:sz w:val="28"/>
          <w:szCs w:val="28"/>
        </w:rPr>
        <w:t xml:space="preserve">, 138 S.Ct. 1148 (2018)); </w:t>
      </w:r>
      <w:r w:rsidR="000574A7" w:rsidRPr="000574A7">
        <w:rPr>
          <w:rFonts w:ascii="Times New Roman" w:hAnsi="Times New Roman"/>
          <w:i/>
          <w:sz w:val="28"/>
          <w:szCs w:val="28"/>
        </w:rPr>
        <w:t>Zadeh v. Robinson</w:t>
      </w:r>
      <w:r w:rsidR="000574A7">
        <w:rPr>
          <w:rFonts w:ascii="Times New Roman" w:hAnsi="Times New Roman"/>
          <w:sz w:val="28"/>
          <w:szCs w:val="28"/>
        </w:rPr>
        <w:t>, 928 F.3d 457</w:t>
      </w:r>
      <w:r w:rsidR="001279AC">
        <w:rPr>
          <w:rFonts w:ascii="Times New Roman" w:hAnsi="Times New Roman"/>
          <w:sz w:val="28"/>
          <w:szCs w:val="28"/>
        </w:rPr>
        <w:t>, 480-81</w:t>
      </w:r>
      <w:r w:rsidR="000574A7">
        <w:rPr>
          <w:rFonts w:ascii="Times New Roman" w:hAnsi="Times New Roman"/>
          <w:sz w:val="28"/>
          <w:szCs w:val="28"/>
        </w:rPr>
        <w:t xml:space="preserve"> (5th Cir. 2019) (Willett, J., concurring in part) (</w:t>
      </w:r>
      <w:r w:rsidR="001279AC">
        <w:rPr>
          <w:rFonts w:ascii="Times New Roman" w:hAnsi="Times New Roman"/>
          <w:sz w:val="28"/>
          <w:szCs w:val="28"/>
        </w:rPr>
        <w:t xml:space="preserve">“Indeed, </w:t>
      </w:r>
      <w:r w:rsidR="001279AC" w:rsidRPr="001279AC">
        <w:rPr>
          <w:rFonts w:ascii="Times New Roman" w:hAnsi="Times New Roman"/>
          <w:sz w:val="28"/>
          <w:szCs w:val="28"/>
        </w:rPr>
        <w:t>it</w:t>
      </w:r>
      <w:r w:rsidR="001279AC">
        <w:rPr>
          <w:rFonts w:ascii="Times New Roman" w:hAnsi="Times New Roman"/>
          <w:sz w:val="28"/>
          <w:szCs w:val="28"/>
        </w:rPr>
        <w:t>’</w:t>
      </w:r>
      <w:r w:rsidR="001279AC" w:rsidRPr="001279AC">
        <w:rPr>
          <w:rFonts w:ascii="Times New Roman" w:hAnsi="Times New Roman"/>
          <w:sz w:val="28"/>
          <w:szCs w:val="28"/>
        </w:rPr>
        <w:t>s curious how this entrenched, judge-created doctrine excuses constitutional violations by limiting the statute Congress passed to redress constitutional violations.</w:t>
      </w:r>
      <w:r w:rsidR="001279AC">
        <w:rPr>
          <w:rFonts w:ascii="Times New Roman" w:hAnsi="Times New Roman"/>
          <w:sz w:val="28"/>
          <w:szCs w:val="28"/>
        </w:rPr>
        <w:t>”). There needs to be some meaningful judicial oversight in the area of issuance and service of search warrants. This Petition takes an important step as to the first, but much remains to be done with regard to the latter.</w:t>
      </w:r>
    </w:p>
    <w:p w14:paraId="49F6691B" w14:textId="2D82C7EA" w:rsidR="00836008" w:rsidRDefault="00836008" w:rsidP="001D0E6C">
      <w:pPr>
        <w:spacing w:line="480" w:lineRule="auto"/>
        <w:ind w:firstLine="720"/>
        <w:jc w:val="both"/>
        <w:rPr>
          <w:rFonts w:ascii="Times New Roman" w:hAnsi="Times New Roman"/>
          <w:sz w:val="28"/>
          <w:szCs w:val="28"/>
        </w:rPr>
      </w:pPr>
      <w:r>
        <w:rPr>
          <w:rFonts w:ascii="Times New Roman" w:hAnsi="Times New Roman"/>
          <w:sz w:val="28"/>
          <w:szCs w:val="28"/>
        </w:rPr>
        <w:t>//</w:t>
      </w:r>
    </w:p>
    <w:p w14:paraId="0D3C2511" w14:textId="17618310" w:rsidR="00836008" w:rsidRDefault="00836008" w:rsidP="001D0E6C">
      <w:pPr>
        <w:spacing w:line="480" w:lineRule="auto"/>
        <w:ind w:firstLine="720"/>
        <w:jc w:val="both"/>
        <w:rPr>
          <w:rFonts w:ascii="Times New Roman" w:hAnsi="Times New Roman"/>
          <w:sz w:val="28"/>
          <w:szCs w:val="28"/>
        </w:rPr>
      </w:pPr>
      <w:r>
        <w:rPr>
          <w:rFonts w:ascii="Times New Roman" w:hAnsi="Times New Roman"/>
          <w:sz w:val="28"/>
          <w:szCs w:val="28"/>
        </w:rPr>
        <w:t>//</w:t>
      </w:r>
      <w:bookmarkStart w:id="3" w:name="_GoBack"/>
      <w:bookmarkEnd w:id="3"/>
    </w:p>
    <w:p w14:paraId="098E9E41" w14:textId="2BB6115D" w:rsidR="00147D30" w:rsidRDefault="00147D30" w:rsidP="001D0E6C">
      <w:pPr>
        <w:spacing w:line="480" w:lineRule="auto"/>
        <w:ind w:firstLine="720"/>
        <w:jc w:val="both"/>
        <w:rPr>
          <w:rFonts w:ascii="Times New Roman" w:hAnsi="Times New Roman"/>
          <w:sz w:val="28"/>
          <w:szCs w:val="28"/>
        </w:rPr>
      </w:pPr>
    </w:p>
    <w:p w14:paraId="0E494131" w14:textId="77777777" w:rsidR="00836008" w:rsidRDefault="00836008">
      <w:pPr>
        <w:spacing w:line="240" w:lineRule="auto"/>
        <w:rPr>
          <w:rFonts w:ascii="Times New Roman" w:hAnsi="Times New Roman"/>
          <w:b/>
          <w:sz w:val="28"/>
          <w:szCs w:val="28"/>
          <w:u w:val="single"/>
        </w:rPr>
      </w:pPr>
      <w:r>
        <w:rPr>
          <w:rFonts w:ascii="Times New Roman" w:hAnsi="Times New Roman"/>
          <w:b/>
          <w:sz w:val="28"/>
          <w:szCs w:val="28"/>
          <w:u w:val="single"/>
        </w:rPr>
        <w:br w:type="page"/>
      </w:r>
    </w:p>
    <w:p w14:paraId="6F78F8D8" w14:textId="157A422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lastRenderedPageBreak/>
        <w:t>Conclusion</w:t>
      </w:r>
    </w:p>
    <w:p w14:paraId="1A9BA697" w14:textId="0F4CB03C"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For these reasons, AACJ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to adopt</w:t>
      </w:r>
      <w:r w:rsidR="00094BC9">
        <w:rPr>
          <w:rFonts w:ascii="Times New Roman" w:hAnsi="Times New Roman"/>
          <w:sz w:val="28"/>
          <w:szCs w:val="28"/>
        </w:rPr>
        <w:t xml:space="preserve"> Rule </w:t>
      </w:r>
      <w:r w:rsidR="00B515D5">
        <w:rPr>
          <w:rFonts w:ascii="Times New Roman" w:hAnsi="Times New Roman"/>
          <w:sz w:val="28"/>
          <w:szCs w:val="28"/>
        </w:rPr>
        <w:t>2</w:t>
      </w:r>
      <w:r w:rsidR="00094BC9">
        <w:rPr>
          <w:rFonts w:ascii="Times New Roman" w:hAnsi="Times New Roman"/>
          <w:sz w:val="28"/>
          <w:szCs w:val="28"/>
        </w:rPr>
        <w:t>.</w:t>
      </w:r>
      <w:r w:rsidR="00B515D5">
        <w:rPr>
          <w:rFonts w:ascii="Times New Roman" w:hAnsi="Times New Roman"/>
          <w:sz w:val="28"/>
          <w:szCs w:val="28"/>
        </w:rPr>
        <w:t>6</w:t>
      </w:r>
      <w:r w:rsidR="00E9409C">
        <w:rPr>
          <w:rFonts w:ascii="Times New Roman" w:hAnsi="Times New Roman"/>
          <w:sz w:val="28"/>
          <w:szCs w:val="28"/>
        </w:rPr>
        <w:t>, with the caveat that it adopt minor changes to the text proposed by the Petitioner</w:t>
      </w:r>
      <w:r>
        <w:rPr>
          <w:rFonts w:ascii="Times New Roman" w:hAnsi="Times New Roman"/>
          <w:sz w:val="28"/>
          <w:szCs w:val="28"/>
        </w:rPr>
        <w:t>.</w:t>
      </w:r>
    </w:p>
    <w:p w14:paraId="268AB80E" w14:textId="5A6D161E"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1C2BDE">
        <w:rPr>
          <w:rFonts w:ascii="Times New Roman" w:hAnsi="Times New Roman"/>
          <w:sz w:val="28"/>
          <w:szCs w:val="28"/>
        </w:rPr>
        <w:t>2</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22</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074FC76B" w14:textId="1C073711" w:rsidR="004B74D0" w:rsidRDefault="002D17D1" w:rsidP="00DC38DE">
      <w:pPr>
        <w:spacing w:line="240" w:lineRule="auto"/>
        <w:rPr>
          <w:rFonts w:ascii="Times New Roman" w:hAnsi="Times New Roman"/>
          <w:sz w:val="28"/>
          <w:szCs w:val="28"/>
        </w:rPr>
      </w:pPr>
      <w:r>
        <w:rPr>
          <w:rFonts w:ascii="Times New Roman" w:hAnsi="Times New Roman"/>
          <w:sz w:val="28"/>
          <w:szCs w:val="28"/>
        </w:rPr>
        <w:t>David K. Byers</w:t>
      </w:r>
    </w:p>
    <w:p w14:paraId="6C3CDB24" w14:textId="2B1B3C24" w:rsidR="004B74D0" w:rsidRDefault="002D17D1" w:rsidP="00DC38DE">
      <w:pPr>
        <w:spacing w:line="240" w:lineRule="auto"/>
        <w:rPr>
          <w:rFonts w:ascii="Times New Roman" w:hAnsi="Times New Roman"/>
          <w:sz w:val="28"/>
          <w:szCs w:val="28"/>
        </w:rPr>
      </w:pPr>
      <w:r>
        <w:rPr>
          <w:rFonts w:ascii="Times New Roman" w:hAnsi="Times New Roman"/>
          <w:sz w:val="28"/>
          <w:szCs w:val="28"/>
        </w:rPr>
        <w:t>Administrative Office of the Courts</w:t>
      </w:r>
    </w:p>
    <w:p w14:paraId="4EDF0958" w14:textId="16DC211D" w:rsidR="002D17D1" w:rsidRDefault="00FA1691" w:rsidP="00DC38DE">
      <w:pPr>
        <w:spacing w:line="240" w:lineRule="auto"/>
        <w:rPr>
          <w:rFonts w:ascii="Times New Roman" w:hAnsi="Times New Roman"/>
          <w:sz w:val="28"/>
          <w:szCs w:val="28"/>
        </w:rPr>
      </w:pPr>
      <w:hyperlink r:id="rId12" w:history="1">
        <w:r w:rsidR="002D17D1" w:rsidRPr="000B39D4">
          <w:rPr>
            <w:rStyle w:val="Hyperlink"/>
            <w:rFonts w:ascii="Times New Roman" w:hAnsi="Times New Roman"/>
            <w:sz w:val="28"/>
            <w:szCs w:val="28"/>
          </w:rPr>
          <w:t>projects2@courts.az.gov</w:t>
        </w:r>
      </w:hyperlink>
    </w:p>
    <w:p w14:paraId="4E4E8AFF" w14:textId="77777777" w:rsidR="002D17D1" w:rsidRDefault="002D17D1" w:rsidP="00DC38DE">
      <w:pPr>
        <w:spacing w:line="240" w:lineRule="auto"/>
        <w:rPr>
          <w:rFonts w:ascii="Times New Roman" w:hAnsi="Times New Roman"/>
          <w:sz w:val="28"/>
          <w:szCs w:val="28"/>
        </w:rPr>
      </w:pPr>
    </w:p>
    <w:sectPr w:rsidR="002D17D1"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 w:id="1">
    <w:p w14:paraId="6BDF58BC" w14:textId="701B90B3" w:rsidR="00836008" w:rsidRPr="00836008" w:rsidRDefault="00836008" w:rsidP="00836008">
      <w:pPr>
        <w:pStyle w:val="FootnoteText"/>
        <w:spacing w:line="240" w:lineRule="auto"/>
        <w:jc w:val="both"/>
        <w:rPr>
          <w:rFonts w:ascii="Times New Roman" w:hAnsi="Times New Roman"/>
          <w:sz w:val="28"/>
          <w:szCs w:val="28"/>
        </w:rPr>
      </w:pPr>
      <w:r w:rsidRPr="00836008">
        <w:rPr>
          <w:rStyle w:val="FootnoteReference"/>
          <w:rFonts w:ascii="Times New Roman" w:hAnsi="Times New Roman"/>
          <w:sz w:val="28"/>
          <w:szCs w:val="28"/>
        </w:rPr>
        <w:footnoteRef/>
      </w:r>
      <w:r w:rsidRPr="00836008">
        <w:rPr>
          <w:rFonts w:ascii="Times New Roman" w:hAnsi="Times New Roman"/>
          <w:sz w:val="28"/>
          <w:szCs w:val="28"/>
        </w:rPr>
        <w:t xml:space="preserve"> </w:t>
      </w:r>
      <w:r>
        <w:rPr>
          <w:rFonts w:ascii="Times New Roman" w:hAnsi="Times New Roman"/>
          <w:sz w:val="28"/>
          <w:szCs w:val="28"/>
        </w:rPr>
        <w:t>Undersigned counsel represented the defendant in that case and reviewed the case file to confirm this fact.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02CC"/>
    <w:rsid w:val="00003247"/>
    <w:rsid w:val="00010B33"/>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279AC"/>
    <w:rsid w:val="00141C61"/>
    <w:rsid w:val="00147D21"/>
    <w:rsid w:val="00147D30"/>
    <w:rsid w:val="001516C5"/>
    <w:rsid w:val="0016125C"/>
    <w:rsid w:val="00175B0A"/>
    <w:rsid w:val="00176A8B"/>
    <w:rsid w:val="00186903"/>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D17D1"/>
    <w:rsid w:val="002E545E"/>
    <w:rsid w:val="002F1FBD"/>
    <w:rsid w:val="002F33EF"/>
    <w:rsid w:val="00304745"/>
    <w:rsid w:val="00304EAE"/>
    <w:rsid w:val="003055A7"/>
    <w:rsid w:val="00305778"/>
    <w:rsid w:val="00305CB1"/>
    <w:rsid w:val="00311552"/>
    <w:rsid w:val="00313AAF"/>
    <w:rsid w:val="00325AFE"/>
    <w:rsid w:val="00351280"/>
    <w:rsid w:val="00357C78"/>
    <w:rsid w:val="003732CB"/>
    <w:rsid w:val="00380B0B"/>
    <w:rsid w:val="003A2343"/>
    <w:rsid w:val="003A346F"/>
    <w:rsid w:val="003A63AE"/>
    <w:rsid w:val="003C15EA"/>
    <w:rsid w:val="003C4E9C"/>
    <w:rsid w:val="003C6246"/>
    <w:rsid w:val="003E5927"/>
    <w:rsid w:val="0041282A"/>
    <w:rsid w:val="0041704C"/>
    <w:rsid w:val="00420CBC"/>
    <w:rsid w:val="00421E9E"/>
    <w:rsid w:val="004434F1"/>
    <w:rsid w:val="00444BE7"/>
    <w:rsid w:val="00451F00"/>
    <w:rsid w:val="00454AE0"/>
    <w:rsid w:val="0047497F"/>
    <w:rsid w:val="00485FAA"/>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924A7"/>
    <w:rsid w:val="005B0C4F"/>
    <w:rsid w:val="005B2350"/>
    <w:rsid w:val="005B53BE"/>
    <w:rsid w:val="005B7899"/>
    <w:rsid w:val="005C109B"/>
    <w:rsid w:val="005C6E61"/>
    <w:rsid w:val="005D06D5"/>
    <w:rsid w:val="005D21EF"/>
    <w:rsid w:val="005D441D"/>
    <w:rsid w:val="005D7DCC"/>
    <w:rsid w:val="005E11F3"/>
    <w:rsid w:val="005F0195"/>
    <w:rsid w:val="005F145E"/>
    <w:rsid w:val="005F4669"/>
    <w:rsid w:val="0060208D"/>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4748"/>
    <w:rsid w:val="00757D2B"/>
    <w:rsid w:val="00760549"/>
    <w:rsid w:val="007626EF"/>
    <w:rsid w:val="00764591"/>
    <w:rsid w:val="00765DAF"/>
    <w:rsid w:val="007669E7"/>
    <w:rsid w:val="00781317"/>
    <w:rsid w:val="00783BC1"/>
    <w:rsid w:val="00785725"/>
    <w:rsid w:val="007862DA"/>
    <w:rsid w:val="00787905"/>
    <w:rsid w:val="00794743"/>
    <w:rsid w:val="007973A8"/>
    <w:rsid w:val="007A3B11"/>
    <w:rsid w:val="007A5AD8"/>
    <w:rsid w:val="007B4B94"/>
    <w:rsid w:val="007C17AC"/>
    <w:rsid w:val="007D2D04"/>
    <w:rsid w:val="007E229C"/>
    <w:rsid w:val="007F091F"/>
    <w:rsid w:val="007F35A8"/>
    <w:rsid w:val="00802B79"/>
    <w:rsid w:val="00806D9C"/>
    <w:rsid w:val="00814F81"/>
    <w:rsid w:val="0081534B"/>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36450"/>
    <w:rsid w:val="00943146"/>
    <w:rsid w:val="00956F98"/>
    <w:rsid w:val="00963B50"/>
    <w:rsid w:val="00973C53"/>
    <w:rsid w:val="00975B5C"/>
    <w:rsid w:val="009815B4"/>
    <w:rsid w:val="009823DE"/>
    <w:rsid w:val="00984935"/>
    <w:rsid w:val="009923CC"/>
    <w:rsid w:val="009B5BAF"/>
    <w:rsid w:val="009C525E"/>
    <w:rsid w:val="009C79C4"/>
    <w:rsid w:val="009D6065"/>
    <w:rsid w:val="009F0CE6"/>
    <w:rsid w:val="009F697C"/>
    <w:rsid w:val="00A00B20"/>
    <w:rsid w:val="00A03454"/>
    <w:rsid w:val="00A0443C"/>
    <w:rsid w:val="00A41AA3"/>
    <w:rsid w:val="00A42EAA"/>
    <w:rsid w:val="00A51530"/>
    <w:rsid w:val="00A629F8"/>
    <w:rsid w:val="00A729B8"/>
    <w:rsid w:val="00A74317"/>
    <w:rsid w:val="00A86C90"/>
    <w:rsid w:val="00AB1A5A"/>
    <w:rsid w:val="00AB2212"/>
    <w:rsid w:val="00AB4F91"/>
    <w:rsid w:val="00AB5BD4"/>
    <w:rsid w:val="00AC1F4E"/>
    <w:rsid w:val="00AC3538"/>
    <w:rsid w:val="00AD6744"/>
    <w:rsid w:val="00AF6D8A"/>
    <w:rsid w:val="00B16F3E"/>
    <w:rsid w:val="00B40EF1"/>
    <w:rsid w:val="00B43E0F"/>
    <w:rsid w:val="00B515D5"/>
    <w:rsid w:val="00B521D5"/>
    <w:rsid w:val="00B67D5C"/>
    <w:rsid w:val="00B81136"/>
    <w:rsid w:val="00B86E8D"/>
    <w:rsid w:val="00B8700C"/>
    <w:rsid w:val="00B90C53"/>
    <w:rsid w:val="00BA4B2B"/>
    <w:rsid w:val="00BA7D16"/>
    <w:rsid w:val="00BB1D01"/>
    <w:rsid w:val="00BB2A3A"/>
    <w:rsid w:val="00BB39E6"/>
    <w:rsid w:val="00BB652F"/>
    <w:rsid w:val="00BC2358"/>
    <w:rsid w:val="00BC64C3"/>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1585"/>
    <w:rsid w:val="00C71726"/>
    <w:rsid w:val="00C76BAA"/>
    <w:rsid w:val="00C838EB"/>
    <w:rsid w:val="00C8556E"/>
    <w:rsid w:val="00C859FD"/>
    <w:rsid w:val="00C919C7"/>
    <w:rsid w:val="00C940C1"/>
    <w:rsid w:val="00C97315"/>
    <w:rsid w:val="00C9771B"/>
    <w:rsid w:val="00CA18B8"/>
    <w:rsid w:val="00CA5449"/>
    <w:rsid w:val="00CA5689"/>
    <w:rsid w:val="00CC3610"/>
    <w:rsid w:val="00CD45E7"/>
    <w:rsid w:val="00CE08E0"/>
    <w:rsid w:val="00D0294B"/>
    <w:rsid w:val="00D145C4"/>
    <w:rsid w:val="00D26ED2"/>
    <w:rsid w:val="00D37836"/>
    <w:rsid w:val="00D407F7"/>
    <w:rsid w:val="00D43EF2"/>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9409C"/>
    <w:rsid w:val="00EF5061"/>
    <w:rsid w:val="00F01BD2"/>
    <w:rsid w:val="00F03F5F"/>
    <w:rsid w:val="00F05072"/>
    <w:rsid w:val="00F12038"/>
    <w:rsid w:val="00F16ADA"/>
    <w:rsid w:val="00F306C9"/>
    <w:rsid w:val="00F33A8F"/>
    <w:rsid w:val="00F4743E"/>
    <w:rsid w:val="00F50B0F"/>
    <w:rsid w:val="00F54AAE"/>
    <w:rsid w:val="00F648B7"/>
    <w:rsid w:val="00F72E82"/>
    <w:rsid w:val="00F770BC"/>
    <w:rsid w:val="00F81718"/>
    <w:rsid w:val="00F82A1D"/>
    <w:rsid w:val="00F83BF1"/>
    <w:rsid w:val="00F83D96"/>
    <w:rsid w:val="00FA1691"/>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
    <w:name w:val="Unresolved Mention"/>
    <w:basedOn w:val="DefaultParagraphFont"/>
    <w:uiPriority w:val="99"/>
    <w:semiHidden/>
    <w:unhideWhenUsed/>
    <w:rsid w:val="009B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7305</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5</cp:revision>
  <cp:lastPrinted>2012-05-18T16:39:00Z</cp:lastPrinted>
  <dcterms:created xsi:type="dcterms:W3CDTF">2022-04-29T22:02:00Z</dcterms:created>
  <dcterms:modified xsi:type="dcterms:W3CDTF">2022-04-30T18:44:00Z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