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011BE" w14:textId="77777777" w:rsidR="00605423" w:rsidRPr="000D788F" w:rsidRDefault="00605423" w:rsidP="000D788F">
      <w:pPr>
        <w:spacing w:line="240" w:lineRule="auto"/>
        <w:jc w:val="both"/>
        <w:rPr>
          <w:sz w:val="28"/>
          <w:szCs w:val="28"/>
        </w:rPr>
      </w:pPr>
      <w:r w:rsidRPr="000D788F">
        <w:rPr>
          <w:sz w:val="28"/>
          <w:szCs w:val="28"/>
        </w:rPr>
        <w:t>Nancy A. Greenlee</w:t>
      </w:r>
    </w:p>
    <w:p w14:paraId="74E584CE" w14:textId="77777777" w:rsidR="00605423" w:rsidRPr="000D788F" w:rsidRDefault="00605423" w:rsidP="000D788F">
      <w:pPr>
        <w:spacing w:line="240" w:lineRule="auto"/>
        <w:jc w:val="both"/>
        <w:rPr>
          <w:sz w:val="28"/>
          <w:szCs w:val="28"/>
        </w:rPr>
      </w:pPr>
      <w:r w:rsidRPr="000D788F">
        <w:rPr>
          <w:sz w:val="28"/>
          <w:szCs w:val="28"/>
        </w:rPr>
        <w:t>Attorney and Counselor at Law</w:t>
      </w:r>
    </w:p>
    <w:p w14:paraId="2424CA6C" w14:textId="77777777" w:rsidR="00605423" w:rsidRPr="000D788F" w:rsidRDefault="00605423" w:rsidP="000D788F">
      <w:pPr>
        <w:spacing w:line="240" w:lineRule="auto"/>
        <w:jc w:val="both"/>
        <w:rPr>
          <w:sz w:val="28"/>
          <w:szCs w:val="28"/>
        </w:rPr>
      </w:pPr>
      <w:r w:rsidRPr="000D788F">
        <w:rPr>
          <w:sz w:val="28"/>
          <w:szCs w:val="28"/>
        </w:rPr>
        <w:t>821 East Fern Drive North</w:t>
      </w:r>
    </w:p>
    <w:p w14:paraId="3276672E" w14:textId="77777777" w:rsidR="00605423" w:rsidRPr="000D788F" w:rsidRDefault="00605423" w:rsidP="000D788F">
      <w:pPr>
        <w:spacing w:line="240" w:lineRule="auto"/>
        <w:jc w:val="both"/>
        <w:rPr>
          <w:sz w:val="28"/>
          <w:szCs w:val="28"/>
        </w:rPr>
      </w:pPr>
      <w:r w:rsidRPr="000D788F">
        <w:rPr>
          <w:sz w:val="28"/>
          <w:szCs w:val="28"/>
        </w:rPr>
        <w:t>Phoenix, Arizona 85014</w:t>
      </w:r>
    </w:p>
    <w:p w14:paraId="0361104E" w14:textId="77777777" w:rsidR="00605423" w:rsidRPr="000D788F" w:rsidRDefault="00605423" w:rsidP="000D788F">
      <w:pPr>
        <w:spacing w:line="240" w:lineRule="auto"/>
        <w:jc w:val="both"/>
        <w:rPr>
          <w:sz w:val="28"/>
          <w:szCs w:val="28"/>
        </w:rPr>
      </w:pPr>
      <w:r w:rsidRPr="000D788F">
        <w:rPr>
          <w:sz w:val="28"/>
          <w:szCs w:val="28"/>
        </w:rPr>
        <w:t>Telephone: (602) 264-8110</w:t>
      </w:r>
    </w:p>
    <w:p w14:paraId="3DBB237A" w14:textId="77777777" w:rsidR="00605423" w:rsidRPr="000D788F" w:rsidRDefault="00605423" w:rsidP="000D788F">
      <w:pPr>
        <w:spacing w:line="240" w:lineRule="auto"/>
        <w:jc w:val="both"/>
        <w:rPr>
          <w:sz w:val="28"/>
          <w:szCs w:val="28"/>
        </w:rPr>
      </w:pPr>
      <w:r w:rsidRPr="000D788F">
        <w:rPr>
          <w:sz w:val="28"/>
          <w:szCs w:val="28"/>
        </w:rPr>
        <w:t>Email: nancy@nancygreenlee.com</w:t>
      </w:r>
    </w:p>
    <w:p w14:paraId="4F4CE06D" w14:textId="77777777" w:rsidR="00605423" w:rsidRPr="000D788F" w:rsidRDefault="00605423" w:rsidP="000D788F">
      <w:pPr>
        <w:spacing w:line="240" w:lineRule="auto"/>
        <w:jc w:val="both"/>
        <w:rPr>
          <w:sz w:val="28"/>
          <w:szCs w:val="28"/>
        </w:rPr>
      </w:pPr>
      <w:r w:rsidRPr="000D788F">
        <w:rPr>
          <w:sz w:val="28"/>
          <w:szCs w:val="28"/>
        </w:rPr>
        <w:t>Bar No. 010892</w:t>
      </w:r>
    </w:p>
    <w:p w14:paraId="70C37275" w14:textId="77777777" w:rsidR="00605423" w:rsidRPr="000D788F" w:rsidRDefault="00605423" w:rsidP="000D788F">
      <w:pPr>
        <w:spacing w:line="240" w:lineRule="auto"/>
        <w:jc w:val="both"/>
        <w:rPr>
          <w:sz w:val="28"/>
          <w:szCs w:val="28"/>
        </w:rPr>
      </w:pPr>
    </w:p>
    <w:p w14:paraId="3B679D49" w14:textId="534A9F05" w:rsidR="00054C9A" w:rsidRPr="000D788F" w:rsidRDefault="00054C9A" w:rsidP="000D788F">
      <w:pPr>
        <w:spacing w:line="240" w:lineRule="auto"/>
        <w:jc w:val="both"/>
        <w:rPr>
          <w:sz w:val="28"/>
          <w:szCs w:val="28"/>
        </w:rPr>
      </w:pPr>
      <w:r w:rsidRPr="000D788F">
        <w:rPr>
          <w:sz w:val="28"/>
          <w:szCs w:val="28"/>
        </w:rPr>
        <w:t>Patricia A. Sallen</w:t>
      </w:r>
    </w:p>
    <w:p w14:paraId="30EEAC96" w14:textId="66446EF4" w:rsidR="00054C9A" w:rsidRPr="000D788F" w:rsidRDefault="00054C9A" w:rsidP="000D788F">
      <w:pPr>
        <w:spacing w:line="240" w:lineRule="auto"/>
        <w:jc w:val="both"/>
        <w:rPr>
          <w:sz w:val="28"/>
          <w:szCs w:val="28"/>
        </w:rPr>
      </w:pPr>
      <w:r w:rsidRPr="000D788F">
        <w:rPr>
          <w:sz w:val="28"/>
          <w:szCs w:val="28"/>
        </w:rPr>
        <w:t>Ethics at Law PLLC</w:t>
      </w:r>
    </w:p>
    <w:p w14:paraId="406E888F" w14:textId="77777777" w:rsidR="00054C9A" w:rsidRPr="000D788F" w:rsidRDefault="00054C9A" w:rsidP="000D788F">
      <w:pPr>
        <w:spacing w:line="240" w:lineRule="auto"/>
        <w:jc w:val="both"/>
        <w:rPr>
          <w:sz w:val="28"/>
          <w:szCs w:val="28"/>
        </w:rPr>
      </w:pPr>
      <w:r w:rsidRPr="000D788F">
        <w:rPr>
          <w:sz w:val="28"/>
          <w:szCs w:val="28"/>
        </w:rPr>
        <w:t>3420 N. 42</w:t>
      </w:r>
      <w:r w:rsidRPr="000D788F">
        <w:rPr>
          <w:sz w:val="28"/>
          <w:szCs w:val="28"/>
          <w:vertAlign w:val="superscript"/>
        </w:rPr>
        <w:t>nd</w:t>
      </w:r>
      <w:r w:rsidRPr="000D788F">
        <w:rPr>
          <w:sz w:val="28"/>
          <w:szCs w:val="28"/>
        </w:rPr>
        <w:t xml:space="preserve"> Street</w:t>
      </w:r>
    </w:p>
    <w:p w14:paraId="6B79BD93" w14:textId="77777777" w:rsidR="00054C9A" w:rsidRPr="000D788F" w:rsidRDefault="00054C9A" w:rsidP="000D788F">
      <w:pPr>
        <w:spacing w:line="240" w:lineRule="auto"/>
        <w:jc w:val="both"/>
        <w:rPr>
          <w:sz w:val="28"/>
          <w:szCs w:val="28"/>
        </w:rPr>
      </w:pPr>
      <w:r w:rsidRPr="000D788F">
        <w:rPr>
          <w:sz w:val="28"/>
          <w:szCs w:val="28"/>
        </w:rPr>
        <w:t>Phoenix, Arizona 85018</w:t>
      </w:r>
    </w:p>
    <w:p w14:paraId="386A9242" w14:textId="77777777" w:rsidR="00054C9A" w:rsidRPr="000D788F" w:rsidRDefault="00054C9A" w:rsidP="000D788F">
      <w:pPr>
        <w:spacing w:line="240" w:lineRule="auto"/>
        <w:jc w:val="both"/>
        <w:rPr>
          <w:sz w:val="28"/>
          <w:szCs w:val="28"/>
        </w:rPr>
      </w:pPr>
      <w:r w:rsidRPr="000D788F">
        <w:rPr>
          <w:sz w:val="28"/>
          <w:szCs w:val="28"/>
        </w:rPr>
        <w:t>Telephone ( 480) 290-4841</w:t>
      </w:r>
    </w:p>
    <w:p w14:paraId="6B79D081" w14:textId="77777777" w:rsidR="00054C9A" w:rsidRPr="000D788F" w:rsidRDefault="00054C9A" w:rsidP="000D788F">
      <w:pPr>
        <w:spacing w:line="240" w:lineRule="auto"/>
        <w:jc w:val="both"/>
        <w:rPr>
          <w:sz w:val="28"/>
          <w:szCs w:val="28"/>
        </w:rPr>
      </w:pPr>
      <w:r w:rsidRPr="000D788F">
        <w:rPr>
          <w:sz w:val="28"/>
          <w:szCs w:val="28"/>
        </w:rPr>
        <w:t>Email: psallen@ethicsatlaw.com</w:t>
      </w:r>
    </w:p>
    <w:p w14:paraId="3B40DF99" w14:textId="217AB7FD" w:rsidR="00054C9A" w:rsidRPr="000D788F" w:rsidRDefault="00054C9A" w:rsidP="000D788F">
      <w:pPr>
        <w:spacing w:line="240" w:lineRule="auto"/>
        <w:jc w:val="both"/>
        <w:rPr>
          <w:sz w:val="28"/>
          <w:szCs w:val="28"/>
        </w:rPr>
      </w:pPr>
      <w:r w:rsidRPr="000D788F">
        <w:rPr>
          <w:sz w:val="28"/>
          <w:szCs w:val="28"/>
        </w:rPr>
        <w:t xml:space="preserve">Bar </w:t>
      </w:r>
      <w:r w:rsidR="00ED00BE" w:rsidRPr="000D788F">
        <w:rPr>
          <w:sz w:val="28"/>
          <w:szCs w:val="28"/>
        </w:rPr>
        <w:t>No.</w:t>
      </w:r>
      <w:r w:rsidRPr="000D788F">
        <w:rPr>
          <w:sz w:val="28"/>
          <w:szCs w:val="28"/>
        </w:rPr>
        <w:t xml:space="preserve"> 012338</w:t>
      </w:r>
    </w:p>
    <w:p w14:paraId="29AB5FD8" w14:textId="77777777" w:rsidR="00054C9A" w:rsidRPr="000D788F" w:rsidRDefault="00054C9A" w:rsidP="000D788F">
      <w:pPr>
        <w:spacing w:line="240" w:lineRule="auto"/>
        <w:jc w:val="both"/>
        <w:rPr>
          <w:sz w:val="28"/>
          <w:szCs w:val="28"/>
        </w:rPr>
      </w:pPr>
    </w:p>
    <w:p w14:paraId="40D753FB" w14:textId="73EE4C16" w:rsidR="00054C9A" w:rsidRPr="000D788F" w:rsidRDefault="00054C9A" w:rsidP="000D788F">
      <w:pPr>
        <w:spacing w:line="240" w:lineRule="auto"/>
        <w:jc w:val="both"/>
        <w:rPr>
          <w:sz w:val="28"/>
          <w:szCs w:val="28"/>
        </w:rPr>
      </w:pPr>
    </w:p>
    <w:p w14:paraId="16F195ED" w14:textId="77777777" w:rsidR="008A7239" w:rsidRPr="000D788F" w:rsidRDefault="008A7239" w:rsidP="000D788F">
      <w:pPr>
        <w:spacing w:line="240" w:lineRule="auto"/>
        <w:jc w:val="both"/>
        <w:rPr>
          <w:sz w:val="28"/>
          <w:szCs w:val="28"/>
        </w:rPr>
      </w:pPr>
    </w:p>
    <w:p w14:paraId="4D11586C" w14:textId="77777777" w:rsidR="000A6E16" w:rsidRPr="000D788F" w:rsidRDefault="00507BFF" w:rsidP="000D788F">
      <w:pPr>
        <w:spacing w:line="240" w:lineRule="auto"/>
        <w:jc w:val="center"/>
        <w:rPr>
          <w:b/>
          <w:sz w:val="28"/>
          <w:szCs w:val="28"/>
        </w:rPr>
      </w:pPr>
      <w:r w:rsidRPr="000D788F">
        <w:rPr>
          <w:b/>
          <w:sz w:val="28"/>
          <w:szCs w:val="28"/>
        </w:rPr>
        <w:t xml:space="preserve">IN THE </w:t>
      </w:r>
      <w:r w:rsidR="006756B7" w:rsidRPr="000D788F">
        <w:rPr>
          <w:b/>
          <w:sz w:val="28"/>
          <w:szCs w:val="28"/>
        </w:rPr>
        <w:t>SUPREME COURT</w:t>
      </w:r>
    </w:p>
    <w:p w14:paraId="2D7A1156" w14:textId="77777777" w:rsidR="000A6E16" w:rsidRPr="000D788F" w:rsidRDefault="000A6E16" w:rsidP="000D788F">
      <w:pPr>
        <w:spacing w:line="240" w:lineRule="auto"/>
        <w:jc w:val="center"/>
        <w:rPr>
          <w:b/>
          <w:sz w:val="28"/>
          <w:szCs w:val="28"/>
        </w:rPr>
      </w:pPr>
    </w:p>
    <w:p w14:paraId="3EF7CB83" w14:textId="77777777" w:rsidR="000A6E16" w:rsidRPr="000D788F" w:rsidRDefault="006756B7" w:rsidP="000D788F">
      <w:pPr>
        <w:spacing w:line="240" w:lineRule="auto"/>
        <w:jc w:val="center"/>
        <w:rPr>
          <w:b/>
          <w:sz w:val="28"/>
          <w:szCs w:val="28"/>
        </w:rPr>
      </w:pPr>
      <w:r w:rsidRPr="000D788F">
        <w:rPr>
          <w:b/>
          <w:sz w:val="28"/>
          <w:szCs w:val="28"/>
        </w:rPr>
        <w:t>STATE OF ARIZONA</w:t>
      </w:r>
    </w:p>
    <w:p w14:paraId="43472E11" w14:textId="77777777" w:rsidR="00443687" w:rsidRPr="000D788F" w:rsidRDefault="00443687" w:rsidP="000D788F">
      <w:pPr>
        <w:spacing w:line="240" w:lineRule="auto"/>
        <w:jc w:val="both"/>
        <w:rPr>
          <w:sz w:val="28"/>
          <w:szCs w:val="28"/>
        </w:rPr>
      </w:pPr>
    </w:p>
    <w:p w14:paraId="239CE699" w14:textId="77777777" w:rsidR="00ED57D2" w:rsidRPr="000D788F" w:rsidRDefault="00ED57D2" w:rsidP="000D788F">
      <w:pPr>
        <w:spacing w:line="240" w:lineRule="auto"/>
        <w:jc w:val="both"/>
        <w:rPr>
          <w:sz w:val="28"/>
          <w:szCs w:val="28"/>
        </w:rPr>
      </w:pPr>
    </w:p>
    <w:tbl>
      <w:tblPr>
        <w:tblW w:w="0" w:type="auto"/>
        <w:tblLook w:val="01E0" w:firstRow="1" w:lastRow="1" w:firstColumn="1" w:lastColumn="1" w:noHBand="0" w:noVBand="0"/>
      </w:tblPr>
      <w:tblGrid>
        <w:gridCol w:w="4671"/>
        <w:gridCol w:w="4689"/>
      </w:tblGrid>
      <w:tr w:rsidR="00291763" w:rsidRPr="000D788F" w14:paraId="4C1F971C" w14:textId="77777777" w:rsidTr="489B9421">
        <w:tc>
          <w:tcPr>
            <w:tcW w:w="4878" w:type="dxa"/>
            <w:tcBorders>
              <w:bottom w:val="single" w:sz="4" w:space="0" w:color="auto"/>
              <w:right w:val="single" w:sz="4" w:space="0" w:color="auto"/>
            </w:tcBorders>
            <w:shd w:val="clear" w:color="auto" w:fill="auto"/>
          </w:tcPr>
          <w:p w14:paraId="1CBF14F9" w14:textId="77777777" w:rsidR="00635384" w:rsidRPr="006F53AE" w:rsidRDefault="006756B7" w:rsidP="000D788F">
            <w:pPr>
              <w:spacing w:line="240" w:lineRule="auto"/>
              <w:jc w:val="both"/>
              <w:rPr>
                <w:sz w:val="28"/>
                <w:szCs w:val="28"/>
              </w:rPr>
            </w:pPr>
            <w:r w:rsidRPr="006F53AE">
              <w:rPr>
                <w:sz w:val="28"/>
                <w:szCs w:val="28"/>
              </w:rPr>
              <w:t>In the Matter of:</w:t>
            </w:r>
          </w:p>
          <w:p w14:paraId="69946348" w14:textId="77777777" w:rsidR="00635384" w:rsidRPr="006F53AE" w:rsidRDefault="00635384" w:rsidP="000D788F">
            <w:pPr>
              <w:spacing w:line="240" w:lineRule="auto"/>
              <w:jc w:val="both"/>
              <w:rPr>
                <w:sz w:val="28"/>
                <w:szCs w:val="28"/>
              </w:rPr>
            </w:pPr>
          </w:p>
          <w:p w14:paraId="5A2035D2" w14:textId="77777777" w:rsidR="006F53AE" w:rsidRPr="006F53AE" w:rsidRDefault="006F53AE" w:rsidP="006F53AE">
            <w:pPr>
              <w:autoSpaceDE w:val="0"/>
              <w:autoSpaceDN w:val="0"/>
              <w:adjustRightInd w:val="0"/>
              <w:spacing w:line="240" w:lineRule="auto"/>
              <w:rPr>
                <w:b/>
                <w:bCs/>
                <w:sz w:val="29"/>
                <w:szCs w:val="29"/>
              </w:rPr>
            </w:pPr>
            <w:r w:rsidRPr="006F53AE">
              <w:rPr>
                <w:b/>
                <w:bCs/>
                <w:sz w:val="29"/>
                <w:szCs w:val="29"/>
              </w:rPr>
              <w:t>PETITION TO AMEND RULE 42</w:t>
            </w:r>
          </w:p>
          <w:p w14:paraId="4512749E" w14:textId="20BDA1D1" w:rsidR="006756B7" w:rsidRPr="006F53AE" w:rsidRDefault="006F53AE" w:rsidP="006F53AE">
            <w:pPr>
              <w:spacing w:line="240" w:lineRule="auto"/>
              <w:jc w:val="both"/>
              <w:rPr>
                <w:b/>
                <w:sz w:val="28"/>
                <w:szCs w:val="28"/>
              </w:rPr>
            </w:pPr>
            <w:r w:rsidRPr="006F53AE">
              <w:rPr>
                <w:b/>
                <w:bCs/>
                <w:sz w:val="29"/>
                <w:szCs w:val="29"/>
              </w:rPr>
              <w:t>(ER 1.5), ARIZ. R. SUP. CT.</w:t>
            </w:r>
          </w:p>
        </w:tc>
        <w:tc>
          <w:tcPr>
            <w:tcW w:w="4914" w:type="dxa"/>
            <w:tcBorders>
              <w:left w:val="single" w:sz="4" w:space="0" w:color="auto"/>
            </w:tcBorders>
            <w:shd w:val="clear" w:color="auto" w:fill="auto"/>
          </w:tcPr>
          <w:p w14:paraId="7010B56D" w14:textId="7C3A512F" w:rsidR="00635384" w:rsidRPr="006F53AE" w:rsidRDefault="006756B7" w:rsidP="000D788F">
            <w:pPr>
              <w:spacing w:line="240" w:lineRule="auto"/>
              <w:jc w:val="both"/>
              <w:rPr>
                <w:sz w:val="28"/>
                <w:szCs w:val="28"/>
              </w:rPr>
            </w:pPr>
            <w:r w:rsidRPr="006F53AE">
              <w:rPr>
                <w:sz w:val="28"/>
                <w:szCs w:val="28"/>
              </w:rPr>
              <w:t>Suprem</w:t>
            </w:r>
            <w:r w:rsidR="00635384" w:rsidRPr="006F53AE">
              <w:rPr>
                <w:sz w:val="28"/>
                <w:szCs w:val="28"/>
              </w:rPr>
              <w:t xml:space="preserve">e </w:t>
            </w:r>
            <w:r w:rsidRPr="006F53AE">
              <w:rPr>
                <w:sz w:val="28"/>
                <w:szCs w:val="28"/>
              </w:rPr>
              <w:t xml:space="preserve">Court </w:t>
            </w:r>
            <w:r w:rsidR="00635384" w:rsidRPr="006F53AE">
              <w:rPr>
                <w:sz w:val="28"/>
                <w:szCs w:val="28"/>
              </w:rPr>
              <w:t xml:space="preserve">No. </w:t>
            </w:r>
            <w:r w:rsidRPr="006F53AE">
              <w:rPr>
                <w:sz w:val="28"/>
                <w:szCs w:val="28"/>
              </w:rPr>
              <w:t>R-</w:t>
            </w:r>
            <w:r w:rsidR="000D788F" w:rsidRPr="006F53AE">
              <w:rPr>
                <w:sz w:val="28"/>
                <w:szCs w:val="28"/>
              </w:rPr>
              <w:t>22</w:t>
            </w:r>
            <w:r w:rsidR="00A00F18" w:rsidRPr="006F53AE">
              <w:rPr>
                <w:sz w:val="28"/>
                <w:szCs w:val="28"/>
              </w:rPr>
              <w:t>-</w:t>
            </w:r>
            <w:r w:rsidR="000D788F" w:rsidRPr="006F53AE">
              <w:rPr>
                <w:sz w:val="28"/>
                <w:szCs w:val="28"/>
              </w:rPr>
              <w:t>0022</w:t>
            </w:r>
          </w:p>
          <w:p w14:paraId="4C0D033E" w14:textId="77777777" w:rsidR="00635384" w:rsidRPr="006F53AE" w:rsidRDefault="00635384" w:rsidP="000D788F">
            <w:pPr>
              <w:spacing w:line="240" w:lineRule="auto"/>
              <w:jc w:val="both"/>
              <w:rPr>
                <w:sz w:val="28"/>
                <w:szCs w:val="28"/>
              </w:rPr>
            </w:pPr>
          </w:p>
          <w:p w14:paraId="0754F37D" w14:textId="77777777" w:rsidR="006F53AE" w:rsidRPr="006F53AE" w:rsidRDefault="006F53AE" w:rsidP="000D788F">
            <w:pPr>
              <w:spacing w:line="240" w:lineRule="auto"/>
              <w:jc w:val="both"/>
              <w:rPr>
                <w:b/>
                <w:bCs/>
                <w:sz w:val="28"/>
                <w:szCs w:val="28"/>
              </w:rPr>
            </w:pPr>
            <w:r w:rsidRPr="006F53AE">
              <w:rPr>
                <w:b/>
                <w:bCs/>
                <w:sz w:val="28"/>
                <w:szCs w:val="28"/>
              </w:rPr>
              <w:t xml:space="preserve">Comment Opposing </w:t>
            </w:r>
            <w:r w:rsidR="00A00F18" w:rsidRPr="006F53AE">
              <w:rPr>
                <w:b/>
                <w:bCs/>
                <w:sz w:val="28"/>
                <w:szCs w:val="28"/>
              </w:rPr>
              <w:t>Petition</w:t>
            </w:r>
          </w:p>
          <w:p w14:paraId="1ABFDBCD" w14:textId="77777777" w:rsidR="006F53AE" w:rsidRPr="006F53AE" w:rsidRDefault="00A00F18" w:rsidP="000D788F">
            <w:pPr>
              <w:spacing w:line="240" w:lineRule="auto"/>
              <w:jc w:val="both"/>
              <w:rPr>
                <w:b/>
                <w:bCs/>
                <w:sz w:val="28"/>
                <w:szCs w:val="28"/>
              </w:rPr>
            </w:pPr>
            <w:r w:rsidRPr="006F53AE">
              <w:rPr>
                <w:b/>
                <w:bCs/>
                <w:sz w:val="28"/>
                <w:szCs w:val="28"/>
              </w:rPr>
              <w:t xml:space="preserve">to Amend </w:t>
            </w:r>
            <w:r w:rsidR="006F53AE" w:rsidRPr="006F53AE">
              <w:rPr>
                <w:b/>
                <w:bCs/>
                <w:sz w:val="28"/>
                <w:szCs w:val="28"/>
              </w:rPr>
              <w:t xml:space="preserve">Rule 42 (ER 1.5), </w:t>
            </w:r>
          </w:p>
          <w:p w14:paraId="2A424A0D" w14:textId="679A0507" w:rsidR="00635384" w:rsidRPr="006F53AE" w:rsidRDefault="00291763" w:rsidP="000D788F">
            <w:pPr>
              <w:spacing w:line="240" w:lineRule="auto"/>
              <w:jc w:val="both"/>
              <w:rPr>
                <w:b/>
                <w:bCs/>
                <w:sz w:val="28"/>
                <w:szCs w:val="28"/>
              </w:rPr>
            </w:pPr>
            <w:r w:rsidRPr="006F53AE">
              <w:rPr>
                <w:b/>
                <w:bCs/>
                <w:sz w:val="28"/>
                <w:szCs w:val="28"/>
              </w:rPr>
              <w:t>Ariz. R. S</w:t>
            </w:r>
            <w:r w:rsidR="000C5E22" w:rsidRPr="006F53AE">
              <w:rPr>
                <w:b/>
                <w:bCs/>
                <w:sz w:val="28"/>
                <w:szCs w:val="28"/>
              </w:rPr>
              <w:t>up</w:t>
            </w:r>
            <w:r w:rsidRPr="006F53AE">
              <w:rPr>
                <w:b/>
                <w:bCs/>
                <w:sz w:val="28"/>
                <w:szCs w:val="28"/>
              </w:rPr>
              <w:t>. Ct.</w:t>
            </w:r>
          </w:p>
        </w:tc>
      </w:tr>
    </w:tbl>
    <w:p w14:paraId="751FD870" w14:textId="77777777" w:rsidR="00291763" w:rsidRPr="000D788F" w:rsidRDefault="00A31037" w:rsidP="000D788F">
      <w:pPr>
        <w:spacing w:line="240" w:lineRule="auto"/>
        <w:jc w:val="both"/>
        <w:rPr>
          <w:sz w:val="28"/>
          <w:szCs w:val="28"/>
        </w:rPr>
      </w:pPr>
      <w:r w:rsidRPr="000D788F">
        <w:rPr>
          <w:sz w:val="28"/>
          <w:szCs w:val="28"/>
        </w:rPr>
        <w:tab/>
      </w:r>
    </w:p>
    <w:p w14:paraId="75885C52" w14:textId="64497700" w:rsidR="000D788F" w:rsidRDefault="000D788F" w:rsidP="000D788F">
      <w:pPr>
        <w:ind w:firstLine="720"/>
        <w:jc w:val="both"/>
        <w:rPr>
          <w:sz w:val="28"/>
          <w:szCs w:val="28"/>
        </w:rPr>
      </w:pPr>
      <w:r w:rsidRPr="000D788F">
        <w:rPr>
          <w:sz w:val="28"/>
          <w:szCs w:val="28"/>
        </w:rPr>
        <w:t>This rule-change proposal conflates two distinctly different concepts: payment of a referral fee and dividing or sharing one client fee. Creating a special rule that would deem one mechanism for paying a referral fee to be like fee division muddles the two concepts and potentially creates confusion for clients and liability for lawyers.</w:t>
      </w:r>
    </w:p>
    <w:p w14:paraId="71672FCF" w14:textId="24A0DAD9" w:rsidR="006F53AE" w:rsidRPr="000D788F" w:rsidRDefault="006F53AE" w:rsidP="006F53AE">
      <w:pPr>
        <w:jc w:val="both"/>
        <w:rPr>
          <w:sz w:val="28"/>
          <w:szCs w:val="28"/>
        </w:rPr>
      </w:pPr>
      <w:r>
        <w:rPr>
          <w:sz w:val="28"/>
          <w:szCs w:val="28"/>
        </w:rPr>
        <w:t>…</w:t>
      </w:r>
    </w:p>
    <w:p w14:paraId="0B4AB8FE" w14:textId="2A5C1113" w:rsidR="000D788F" w:rsidRPr="000D788F" w:rsidRDefault="000D788F" w:rsidP="000D788F">
      <w:pPr>
        <w:ind w:firstLine="720"/>
        <w:jc w:val="both"/>
        <w:rPr>
          <w:sz w:val="28"/>
          <w:szCs w:val="28"/>
        </w:rPr>
      </w:pPr>
      <w:r w:rsidRPr="000D788F">
        <w:rPr>
          <w:sz w:val="28"/>
          <w:szCs w:val="28"/>
        </w:rPr>
        <w:lastRenderedPageBreak/>
        <w:t xml:space="preserve">A referral fee is not fee sharing or fee division; it is essentially lawyer marketing and has nothing to do with </w:t>
      </w:r>
      <w:r>
        <w:rPr>
          <w:sz w:val="28"/>
          <w:szCs w:val="28"/>
        </w:rPr>
        <w:t xml:space="preserve">hands-on </w:t>
      </w:r>
      <w:r w:rsidRPr="000D788F">
        <w:rPr>
          <w:sz w:val="28"/>
          <w:szCs w:val="28"/>
        </w:rPr>
        <w:t>work</w:t>
      </w:r>
      <w:r>
        <w:rPr>
          <w:sz w:val="28"/>
          <w:szCs w:val="28"/>
        </w:rPr>
        <w:t>ing</w:t>
      </w:r>
      <w:r w:rsidRPr="000D788F">
        <w:rPr>
          <w:sz w:val="28"/>
          <w:szCs w:val="28"/>
        </w:rPr>
        <w:t xml:space="preserve"> on a client matter. Fee sharing, on the other hand, ensures that the client knows which lawyers are working on their matter and how two or more different firms will share one fee from the client’s matter.</w:t>
      </w:r>
    </w:p>
    <w:p w14:paraId="4CA79DD9" w14:textId="77777777" w:rsidR="000D788F" w:rsidRPr="000D788F" w:rsidRDefault="000D788F" w:rsidP="000D788F">
      <w:pPr>
        <w:ind w:firstLine="720"/>
        <w:jc w:val="both"/>
        <w:rPr>
          <w:sz w:val="28"/>
          <w:szCs w:val="28"/>
        </w:rPr>
      </w:pPr>
      <w:r w:rsidRPr="000D788F">
        <w:rPr>
          <w:sz w:val="28"/>
          <w:szCs w:val="28"/>
        </w:rPr>
        <w:t xml:space="preserve">This Court made this difference clear in the Ethical Rule changes that took effect January 1, 2021. </w:t>
      </w:r>
    </w:p>
    <w:p w14:paraId="555F62CD" w14:textId="77777777" w:rsidR="000D788F" w:rsidRPr="000D788F" w:rsidRDefault="000D788F" w:rsidP="000D788F">
      <w:pPr>
        <w:ind w:firstLine="720"/>
        <w:jc w:val="both"/>
        <w:rPr>
          <w:sz w:val="28"/>
          <w:szCs w:val="28"/>
        </w:rPr>
      </w:pPr>
      <w:r w:rsidRPr="000D788F">
        <w:rPr>
          <w:sz w:val="28"/>
          <w:szCs w:val="28"/>
        </w:rPr>
        <w:t xml:space="preserve">With the elimination of ER 7.2(b), lawyers now may compensate sources for referrals. As this Court’s Task Force on the Delivery of Legal Services wrote in its report recommending that change, the prohibition against giving anyone anything of value for recommending a lawyer’s services “exists although there is no quantifiable data evidencing that for-profit referral services or </w:t>
      </w:r>
      <w:r w:rsidRPr="000D788F">
        <w:rPr>
          <w:i/>
          <w:iCs/>
          <w:sz w:val="28"/>
          <w:szCs w:val="28"/>
        </w:rPr>
        <w:t>even paying for referrals confuses or harms consumers</w:t>
      </w:r>
      <w:r w:rsidRPr="000D788F">
        <w:rPr>
          <w:sz w:val="28"/>
          <w:szCs w:val="28"/>
        </w:rPr>
        <w:t>.” (Emphasis added.)</w:t>
      </w:r>
    </w:p>
    <w:p w14:paraId="475E2B90" w14:textId="59FDE59C" w:rsidR="000D788F" w:rsidRPr="000D788F" w:rsidRDefault="000D788F" w:rsidP="000D788F">
      <w:pPr>
        <w:ind w:firstLine="720"/>
        <w:jc w:val="both"/>
        <w:rPr>
          <w:sz w:val="28"/>
          <w:szCs w:val="28"/>
        </w:rPr>
      </w:pPr>
      <w:r w:rsidRPr="000D788F">
        <w:rPr>
          <w:sz w:val="28"/>
          <w:szCs w:val="28"/>
        </w:rPr>
        <w:t xml:space="preserve">At the same time, </w:t>
      </w:r>
      <w:r w:rsidR="006F53AE" w:rsidRPr="000D788F">
        <w:rPr>
          <w:sz w:val="28"/>
          <w:szCs w:val="28"/>
        </w:rPr>
        <w:t>and</w:t>
      </w:r>
      <w:r w:rsidRPr="000D788F">
        <w:rPr>
          <w:sz w:val="28"/>
          <w:szCs w:val="28"/>
        </w:rPr>
        <w:t xml:space="preserve"> as the Task Force proposed, the Court revised ER 1.5(e) to specifically apply only to lawyers in different firms who are “jointly working” on a matter and who share one fee.</w:t>
      </w:r>
    </w:p>
    <w:p w14:paraId="02BA0C08" w14:textId="4DCDCC92" w:rsidR="000D788F" w:rsidRPr="000D788F" w:rsidRDefault="000D788F" w:rsidP="000D788F">
      <w:pPr>
        <w:ind w:firstLine="720"/>
        <w:jc w:val="both"/>
        <w:rPr>
          <w:sz w:val="28"/>
          <w:szCs w:val="28"/>
        </w:rPr>
      </w:pPr>
      <w:r w:rsidRPr="000D788F">
        <w:rPr>
          <w:sz w:val="28"/>
          <w:szCs w:val="28"/>
        </w:rPr>
        <w:t xml:space="preserve">Word choice is important particularly when drafting or proposing rules. </w:t>
      </w:r>
      <w:r>
        <w:rPr>
          <w:sz w:val="28"/>
          <w:szCs w:val="28"/>
        </w:rPr>
        <w:t>Petition R-22-0022</w:t>
      </w:r>
      <w:r w:rsidRPr="000D788F">
        <w:rPr>
          <w:sz w:val="28"/>
          <w:szCs w:val="28"/>
        </w:rPr>
        <w:t xml:space="preserve"> repeatedly refers to “dividing a fee” or “division of fees” in describing the situation </w:t>
      </w:r>
      <w:r>
        <w:rPr>
          <w:sz w:val="28"/>
          <w:szCs w:val="28"/>
        </w:rPr>
        <w:t>in which</w:t>
      </w:r>
      <w:r w:rsidRPr="000D788F">
        <w:rPr>
          <w:sz w:val="28"/>
          <w:szCs w:val="28"/>
        </w:rPr>
        <w:t xml:space="preserve"> </w:t>
      </w:r>
      <w:r>
        <w:rPr>
          <w:sz w:val="28"/>
          <w:szCs w:val="28"/>
        </w:rPr>
        <w:t>a</w:t>
      </w:r>
      <w:r w:rsidRPr="000D788F">
        <w:rPr>
          <w:sz w:val="28"/>
          <w:szCs w:val="28"/>
        </w:rPr>
        <w:t xml:space="preserve"> referral fee is paid to another lawyer or person at the conclusion of the representation as a percentage of the fee earned by the lawyer who </w:t>
      </w:r>
      <w:r w:rsidR="006F53AE" w:rsidRPr="000D788F">
        <w:rPr>
          <w:sz w:val="28"/>
          <w:szCs w:val="28"/>
        </w:rPr>
        <w:t>represents</w:t>
      </w:r>
      <w:r w:rsidRPr="000D788F">
        <w:rPr>
          <w:sz w:val="28"/>
          <w:szCs w:val="28"/>
        </w:rPr>
        <w:t xml:space="preserve"> the client.  To avoid confusion, the term “division of fees” should only be used when the situation falls within existing ER 1.5(e):  when lawyers from different firms are “jointly working” on the matter for the client. </w:t>
      </w:r>
    </w:p>
    <w:p w14:paraId="366C44C8" w14:textId="60287CE3" w:rsidR="000D788F" w:rsidRPr="000D788F" w:rsidRDefault="000D788F" w:rsidP="000D788F">
      <w:pPr>
        <w:ind w:firstLine="720"/>
        <w:jc w:val="both"/>
        <w:rPr>
          <w:sz w:val="28"/>
          <w:szCs w:val="28"/>
        </w:rPr>
      </w:pPr>
      <w:r>
        <w:rPr>
          <w:sz w:val="28"/>
          <w:szCs w:val="28"/>
        </w:rPr>
        <w:t xml:space="preserve">Petition R-22-0022’s </w:t>
      </w:r>
      <w:r w:rsidRPr="000D788F">
        <w:rPr>
          <w:sz w:val="28"/>
          <w:szCs w:val="28"/>
        </w:rPr>
        <w:t xml:space="preserve">proposed new rule further conflates the two concepts depending solely on the mechanism by which a lawyer pays a referral fee. </w:t>
      </w:r>
      <w:r>
        <w:rPr>
          <w:sz w:val="28"/>
          <w:szCs w:val="28"/>
        </w:rPr>
        <w:t xml:space="preserve">Under </w:t>
      </w:r>
      <w:r>
        <w:rPr>
          <w:sz w:val="28"/>
          <w:szCs w:val="28"/>
        </w:rPr>
        <w:lastRenderedPageBreak/>
        <w:t xml:space="preserve">this proposed rule, if a lawyer pays a </w:t>
      </w:r>
      <w:r w:rsidRPr="000D788F">
        <w:rPr>
          <w:sz w:val="28"/>
          <w:szCs w:val="28"/>
        </w:rPr>
        <w:t xml:space="preserve">referral fee </w:t>
      </w:r>
      <w:r>
        <w:rPr>
          <w:sz w:val="28"/>
          <w:szCs w:val="28"/>
        </w:rPr>
        <w:t xml:space="preserve">as </w:t>
      </w:r>
      <w:r w:rsidRPr="000D788F">
        <w:rPr>
          <w:sz w:val="28"/>
          <w:szCs w:val="28"/>
        </w:rPr>
        <w:t xml:space="preserve">a flat amount, say $100, </w:t>
      </w:r>
      <w:r>
        <w:rPr>
          <w:sz w:val="28"/>
          <w:szCs w:val="28"/>
        </w:rPr>
        <w:t>when</w:t>
      </w:r>
      <w:r w:rsidRPr="000D788F">
        <w:rPr>
          <w:sz w:val="28"/>
          <w:szCs w:val="28"/>
        </w:rPr>
        <w:t xml:space="preserve"> the case is referred by a lawyer or other person, </w:t>
      </w:r>
      <w:r>
        <w:rPr>
          <w:sz w:val="28"/>
          <w:szCs w:val="28"/>
        </w:rPr>
        <w:t xml:space="preserve">the lawyer need not inform the client of the payment and </w:t>
      </w:r>
      <w:r w:rsidRPr="000D788F">
        <w:rPr>
          <w:sz w:val="28"/>
          <w:szCs w:val="28"/>
        </w:rPr>
        <w:t xml:space="preserve">it is not considered a  “division of a fee.”  If that type of payment doesn’t require disclosure in writing to the client, and consent in a writing signed by the client, why does a referral fee paid as a percentage of the fee earned by the lawyer at the conclusion of the representation of the client change the character of the referral fee into a division of the legal fee?  The amount paid, however much and from whatever source, doesn’t change the reason for the payment:  compensation to a source for referring the matter to the lawyer.  If the referral source is a lawyer, that source has no responsibility or client obligations; she simply sent the potential client to another lawyer who paid her a referral fee for doing so.  </w:t>
      </w:r>
    </w:p>
    <w:p w14:paraId="72977722" w14:textId="1C66E0D5" w:rsidR="000D788F" w:rsidRPr="000D788F" w:rsidRDefault="00A76D6C" w:rsidP="000D788F">
      <w:pPr>
        <w:ind w:firstLine="720"/>
        <w:jc w:val="both"/>
        <w:rPr>
          <w:sz w:val="28"/>
          <w:szCs w:val="28"/>
        </w:rPr>
      </w:pPr>
      <w:r>
        <w:rPr>
          <w:sz w:val="28"/>
          <w:szCs w:val="28"/>
        </w:rPr>
        <w:t>If this Court adopts the proposed ER 1.5(f), th</w:t>
      </w:r>
      <w:r w:rsidR="000D788F" w:rsidRPr="000D788F">
        <w:rPr>
          <w:sz w:val="28"/>
          <w:szCs w:val="28"/>
        </w:rPr>
        <w:t xml:space="preserve">ere may be unintended consequences for the referring lawyer.  Because disclosure in writing and client consent in a signed writing </w:t>
      </w:r>
      <w:r>
        <w:rPr>
          <w:sz w:val="28"/>
          <w:szCs w:val="28"/>
        </w:rPr>
        <w:t>are</w:t>
      </w:r>
      <w:r w:rsidR="000D788F" w:rsidRPr="000D788F">
        <w:rPr>
          <w:sz w:val="28"/>
          <w:szCs w:val="28"/>
        </w:rPr>
        <w:t xml:space="preserve"> required, if the client later decides to sue for malpractice, why wouldn’t the </w:t>
      </w:r>
      <w:r>
        <w:rPr>
          <w:sz w:val="28"/>
          <w:szCs w:val="28"/>
        </w:rPr>
        <w:t xml:space="preserve">client’s </w:t>
      </w:r>
      <w:r w:rsidR="000D788F" w:rsidRPr="000D788F">
        <w:rPr>
          <w:sz w:val="28"/>
          <w:szCs w:val="28"/>
        </w:rPr>
        <w:t>malpractice lawyer include the referring lawyer as a possible defendant, at least while discovery is undertaken to determine whether the referring lawyer had any input into the settlement amount or other matters?  What referring lawyer wants that potential exposure when the referring lawyer had nothing to do with the actual representation?</w:t>
      </w:r>
    </w:p>
    <w:p w14:paraId="37C25953" w14:textId="275BAE41" w:rsidR="000D788F" w:rsidRPr="000D788F" w:rsidRDefault="000D788F" w:rsidP="000D788F">
      <w:pPr>
        <w:ind w:firstLine="720"/>
        <w:jc w:val="both"/>
        <w:rPr>
          <w:sz w:val="28"/>
          <w:szCs w:val="28"/>
        </w:rPr>
      </w:pPr>
      <w:r w:rsidRPr="000D788F">
        <w:rPr>
          <w:sz w:val="28"/>
          <w:szCs w:val="28"/>
        </w:rPr>
        <w:t xml:space="preserve">The petition states, without any evidence, that “dividing a client’s fee with someone outside of the firm creates a risk to clients.”  Does an upfront payment of a $100 referral fee create risk to the client?  The petition speculates that the lawyer “may increase overall billings as a means of compensating for the </w:t>
      </w:r>
      <w:r w:rsidRPr="000D788F">
        <w:rPr>
          <w:i/>
          <w:iCs/>
          <w:sz w:val="28"/>
          <w:szCs w:val="28"/>
        </w:rPr>
        <w:t>fee-sharing</w:t>
      </w:r>
      <w:r w:rsidRPr="000D788F">
        <w:rPr>
          <w:sz w:val="28"/>
          <w:szCs w:val="28"/>
        </w:rPr>
        <w:t xml:space="preserve"> arrangement.” (Emphasis added.) Again, the payment is a </w:t>
      </w:r>
      <w:r w:rsidRPr="000D788F">
        <w:rPr>
          <w:i/>
          <w:iCs/>
          <w:sz w:val="28"/>
          <w:szCs w:val="28"/>
        </w:rPr>
        <w:t>referral fee</w:t>
      </w:r>
      <w:r w:rsidRPr="000D788F">
        <w:rPr>
          <w:sz w:val="28"/>
          <w:szCs w:val="28"/>
        </w:rPr>
        <w:t xml:space="preserve"> paid at the conclusion of representation from the fee earned by lawyer who did the work.  </w:t>
      </w:r>
      <w:r w:rsidRPr="000D788F">
        <w:rPr>
          <w:i/>
          <w:iCs/>
          <w:sz w:val="28"/>
          <w:szCs w:val="28"/>
        </w:rPr>
        <w:t xml:space="preserve">Fee </w:t>
      </w:r>
      <w:r w:rsidRPr="000D788F">
        <w:rPr>
          <w:i/>
          <w:iCs/>
          <w:sz w:val="28"/>
          <w:szCs w:val="28"/>
        </w:rPr>
        <w:lastRenderedPageBreak/>
        <w:t>sharing</w:t>
      </w:r>
      <w:r w:rsidRPr="000D788F">
        <w:rPr>
          <w:sz w:val="28"/>
          <w:szCs w:val="28"/>
        </w:rPr>
        <w:t xml:space="preserve"> is the situation described in ER 1.5(e) </w:t>
      </w:r>
      <w:r w:rsidR="00A76D6C">
        <w:rPr>
          <w:sz w:val="28"/>
          <w:szCs w:val="28"/>
        </w:rPr>
        <w:t>in which</w:t>
      </w:r>
      <w:r w:rsidRPr="000D788F">
        <w:rPr>
          <w:sz w:val="28"/>
          <w:szCs w:val="28"/>
        </w:rPr>
        <w:t xml:space="preserve"> lawyers at different law firms are responsible for doing the work – “jointly working,” as the Court explicitly recently amended the rule to say – on the client’s case.  </w:t>
      </w:r>
    </w:p>
    <w:p w14:paraId="35E9964D" w14:textId="77777777" w:rsidR="000D788F" w:rsidRPr="000D788F" w:rsidRDefault="000D788F" w:rsidP="000D788F">
      <w:pPr>
        <w:ind w:firstLine="720"/>
        <w:jc w:val="both"/>
        <w:rPr>
          <w:sz w:val="28"/>
          <w:szCs w:val="28"/>
        </w:rPr>
      </w:pPr>
      <w:r w:rsidRPr="000D788F">
        <w:rPr>
          <w:sz w:val="28"/>
          <w:szCs w:val="28"/>
        </w:rPr>
        <w:t>If the lawyer pays an upfront referral fee of, say, $1,000 rather than $100, doesn’t the lawyer have the same alleged incentive to increase overall billings to compensate for having paid the referral fee?  If the lawyer has an untoward incentive under that circumstance, the solution is an investigation into whether an ER 1.5(a) unreasonable fee has been charged.</w:t>
      </w:r>
    </w:p>
    <w:p w14:paraId="5D37D6F2" w14:textId="0553FF27" w:rsidR="000D788F" w:rsidRPr="000D788F" w:rsidRDefault="000D788F" w:rsidP="000D788F">
      <w:pPr>
        <w:ind w:firstLine="720"/>
        <w:jc w:val="both"/>
        <w:rPr>
          <w:sz w:val="28"/>
          <w:szCs w:val="28"/>
        </w:rPr>
      </w:pPr>
      <w:r w:rsidRPr="000D788F">
        <w:rPr>
          <w:sz w:val="28"/>
          <w:szCs w:val="28"/>
        </w:rPr>
        <w:t xml:space="preserve">The petition opines that a client who knows her legal fee will be </w:t>
      </w:r>
      <w:r w:rsidRPr="000D788F">
        <w:rPr>
          <w:i/>
          <w:iCs/>
          <w:sz w:val="28"/>
          <w:szCs w:val="28"/>
        </w:rPr>
        <w:t xml:space="preserve">divided </w:t>
      </w:r>
      <w:r w:rsidRPr="000D788F">
        <w:rPr>
          <w:sz w:val="28"/>
          <w:szCs w:val="28"/>
        </w:rPr>
        <w:t xml:space="preserve">(again, the wrong description of what is happening) with someone outside the firm will be better equipped to evaluate the settlement offer and the overall reasonableness of the lawyer’s fees.  Why?  How?  If one accepts the notion that mere payment of a referral fee impacts the settlement offer or reasonableness of the overall fee, then the client </w:t>
      </w:r>
      <w:r w:rsidR="00A76D6C">
        <w:rPr>
          <w:sz w:val="28"/>
          <w:szCs w:val="28"/>
        </w:rPr>
        <w:t xml:space="preserve">also </w:t>
      </w:r>
      <w:r w:rsidRPr="000D788F">
        <w:rPr>
          <w:sz w:val="28"/>
          <w:szCs w:val="28"/>
        </w:rPr>
        <w:t xml:space="preserve">should need to be told of an upfront $1,000 referral fee. Or even, perhaps, a lawyer’s expenditures for marketing and advertising, all of which could, under the same logic, </w:t>
      </w:r>
      <w:r w:rsidR="00A76D6C">
        <w:rPr>
          <w:sz w:val="28"/>
          <w:szCs w:val="28"/>
        </w:rPr>
        <w:t>impact</w:t>
      </w:r>
      <w:r w:rsidRPr="000D788F">
        <w:rPr>
          <w:sz w:val="28"/>
          <w:szCs w:val="28"/>
        </w:rPr>
        <w:t xml:space="preserve"> a settlement offer or reasonableness of the overall fee.</w:t>
      </w:r>
    </w:p>
    <w:p w14:paraId="423DECFD" w14:textId="49F88774" w:rsidR="000D788F" w:rsidRDefault="000D788F" w:rsidP="000D788F">
      <w:pPr>
        <w:ind w:firstLine="720"/>
        <w:jc w:val="both"/>
        <w:rPr>
          <w:sz w:val="28"/>
          <w:szCs w:val="28"/>
        </w:rPr>
      </w:pPr>
      <w:r w:rsidRPr="000D788F">
        <w:rPr>
          <w:sz w:val="28"/>
          <w:szCs w:val="28"/>
        </w:rPr>
        <w:t xml:space="preserve">Adopting ER 1.5(f) and calling </w:t>
      </w:r>
      <w:r w:rsidR="00A76D6C">
        <w:rPr>
          <w:sz w:val="28"/>
          <w:szCs w:val="28"/>
        </w:rPr>
        <w:t>a</w:t>
      </w:r>
      <w:r w:rsidRPr="000D788F">
        <w:rPr>
          <w:sz w:val="28"/>
          <w:szCs w:val="28"/>
        </w:rPr>
        <w:t xml:space="preserve"> referral fee </w:t>
      </w:r>
      <w:r w:rsidR="00A76D6C">
        <w:rPr>
          <w:sz w:val="28"/>
          <w:szCs w:val="28"/>
        </w:rPr>
        <w:t xml:space="preserve">paid out of the lawyer’s contingency fee </w:t>
      </w:r>
      <w:r w:rsidRPr="000D788F">
        <w:rPr>
          <w:sz w:val="28"/>
          <w:szCs w:val="28"/>
        </w:rPr>
        <w:t xml:space="preserve">a “division of a client’s legal fee” makes the situation more confusing and complicated, not less. It creates a fee purgatory, a netherworld in which only one specific type of referral fee transforms into a weird version of fee division, even though the specific type of referral fee does not fit the fee-division rubric and has nothing to do with working on a client matter. It changes what is simply a mechanism for compensating a referral source into something that it is not.  </w:t>
      </w:r>
    </w:p>
    <w:p w14:paraId="5E715810" w14:textId="7108960B" w:rsidR="006F53AE" w:rsidRPr="000D788F" w:rsidRDefault="006F53AE" w:rsidP="006F53AE">
      <w:pPr>
        <w:jc w:val="both"/>
        <w:rPr>
          <w:sz w:val="28"/>
          <w:szCs w:val="28"/>
        </w:rPr>
      </w:pPr>
      <w:r>
        <w:rPr>
          <w:sz w:val="28"/>
          <w:szCs w:val="28"/>
        </w:rPr>
        <w:t>…</w:t>
      </w:r>
    </w:p>
    <w:p w14:paraId="50E5B743" w14:textId="4568E8F5" w:rsidR="000D788F" w:rsidRPr="000D788F" w:rsidRDefault="000D788F" w:rsidP="00A76D6C">
      <w:pPr>
        <w:spacing w:line="360" w:lineRule="auto"/>
        <w:ind w:firstLine="720"/>
        <w:jc w:val="both"/>
        <w:rPr>
          <w:sz w:val="28"/>
          <w:szCs w:val="28"/>
        </w:rPr>
      </w:pPr>
      <w:r w:rsidRPr="000D788F">
        <w:rPr>
          <w:sz w:val="28"/>
          <w:szCs w:val="28"/>
        </w:rPr>
        <w:lastRenderedPageBreak/>
        <w:t>If this Court has concerns about what the client should know, then, to be consistent, a lawyer should be required to advise the client any time the lawyer has paid compensation to anyone, by whatever means, for having referred the client to the lawyer. Otherwise, this Court is urged to reject Petition R-22-0022.</w:t>
      </w:r>
    </w:p>
    <w:p w14:paraId="4BBA829A" w14:textId="1A6F0379" w:rsidR="006756B7" w:rsidRPr="000D788F" w:rsidRDefault="006756B7" w:rsidP="00A76D6C">
      <w:pPr>
        <w:spacing w:line="360" w:lineRule="auto"/>
        <w:ind w:firstLine="720"/>
        <w:jc w:val="both"/>
        <w:rPr>
          <w:sz w:val="28"/>
          <w:szCs w:val="28"/>
        </w:rPr>
      </w:pPr>
      <w:r w:rsidRPr="000D788F">
        <w:rPr>
          <w:sz w:val="28"/>
          <w:szCs w:val="28"/>
        </w:rPr>
        <w:t xml:space="preserve">RESPECTFULLY SUBMITTED this </w:t>
      </w:r>
      <w:r w:rsidR="00605423" w:rsidRPr="000D788F">
        <w:rPr>
          <w:sz w:val="28"/>
          <w:szCs w:val="28"/>
        </w:rPr>
        <w:t>1st</w:t>
      </w:r>
      <w:r w:rsidR="00E701A9" w:rsidRPr="000D788F">
        <w:rPr>
          <w:sz w:val="28"/>
          <w:szCs w:val="28"/>
        </w:rPr>
        <w:t xml:space="preserve"> </w:t>
      </w:r>
      <w:r w:rsidRPr="000D788F">
        <w:rPr>
          <w:sz w:val="28"/>
          <w:szCs w:val="28"/>
        </w:rPr>
        <w:t xml:space="preserve">day of </w:t>
      </w:r>
      <w:r w:rsidR="00605423" w:rsidRPr="000D788F">
        <w:rPr>
          <w:sz w:val="28"/>
          <w:szCs w:val="28"/>
        </w:rPr>
        <w:t>May,</w:t>
      </w:r>
      <w:r w:rsidRPr="000D788F">
        <w:rPr>
          <w:sz w:val="28"/>
          <w:szCs w:val="28"/>
        </w:rPr>
        <w:t xml:space="preserve"> 20</w:t>
      </w:r>
      <w:r w:rsidR="00A05F1A" w:rsidRPr="000D788F">
        <w:rPr>
          <w:sz w:val="28"/>
          <w:szCs w:val="28"/>
        </w:rPr>
        <w:t>2</w:t>
      </w:r>
      <w:r w:rsidR="00605423" w:rsidRPr="000D788F">
        <w:rPr>
          <w:sz w:val="28"/>
          <w:szCs w:val="28"/>
        </w:rPr>
        <w:t>2</w:t>
      </w:r>
      <w:r w:rsidRPr="000D788F">
        <w:rPr>
          <w:sz w:val="28"/>
          <w:szCs w:val="28"/>
        </w:rPr>
        <w:t>.</w:t>
      </w:r>
    </w:p>
    <w:p w14:paraId="5FBC1644" w14:textId="74A704BE" w:rsidR="006756B7" w:rsidRPr="00C34525" w:rsidRDefault="006756B7" w:rsidP="006756B7">
      <w:pPr>
        <w:spacing w:line="240" w:lineRule="auto"/>
        <w:rPr>
          <w:sz w:val="28"/>
          <w:szCs w:val="28"/>
        </w:rPr>
      </w:pPr>
    </w:p>
    <w:p w14:paraId="597B7AF5" w14:textId="77777777" w:rsidR="00972462" w:rsidRPr="00C34525" w:rsidRDefault="00972462" w:rsidP="00605423">
      <w:pPr>
        <w:spacing w:line="240" w:lineRule="auto"/>
        <w:rPr>
          <w:sz w:val="28"/>
          <w:szCs w:val="28"/>
        </w:rPr>
      </w:pPr>
    </w:p>
    <w:p w14:paraId="1C5FFFCB" w14:textId="0C35D3BF" w:rsidR="00054C9A" w:rsidRPr="00C34525" w:rsidRDefault="00972462" w:rsidP="00B25CB7">
      <w:pPr>
        <w:spacing w:line="240" w:lineRule="auto"/>
        <w:rPr>
          <w:sz w:val="28"/>
          <w:szCs w:val="28"/>
          <w:u w:val="single"/>
        </w:rPr>
      </w:pPr>
      <w:r w:rsidRPr="00C34525">
        <w:rPr>
          <w:sz w:val="28"/>
          <w:szCs w:val="28"/>
        </w:rPr>
        <w:tab/>
      </w:r>
      <w:r w:rsidRPr="00C34525">
        <w:rPr>
          <w:sz w:val="28"/>
          <w:szCs w:val="28"/>
        </w:rPr>
        <w:tab/>
      </w:r>
      <w:r w:rsidRPr="00C34525">
        <w:rPr>
          <w:sz w:val="28"/>
          <w:szCs w:val="28"/>
        </w:rPr>
        <w:tab/>
      </w:r>
      <w:r w:rsidRPr="00C34525">
        <w:rPr>
          <w:sz w:val="28"/>
          <w:szCs w:val="28"/>
        </w:rPr>
        <w:tab/>
      </w:r>
      <w:r w:rsidRPr="00C34525">
        <w:rPr>
          <w:sz w:val="28"/>
          <w:szCs w:val="28"/>
        </w:rPr>
        <w:tab/>
      </w:r>
      <w:r w:rsidRPr="00C34525">
        <w:rPr>
          <w:sz w:val="28"/>
          <w:szCs w:val="28"/>
        </w:rPr>
        <w:tab/>
      </w:r>
      <w:r w:rsidRPr="00C34525">
        <w:rPr>
          <w:sz w:val="28"/>
          <w:szCs w:val="28"/>
          <w:u w:val="single"/>
        </w:rPr>
        <w:tab/>
      </w:r>
      <w:r w:rsidRPr="00C34525">
        <w:rPr>
          <w:sz w:val="28"/>
          <w:szCs w:val="28"/>
          <w:u w:val="single"/>
        </w:rPr>
        <w:tab/>
      </w:r>
      <w:r w:rsidRPr="00C34525">
        <w:rPr>
          <w:sz w:val="28"/>
          <w:szCs w:val="28"/>
          <w:u w:val="single"/>
        </w:rPr>
        <w:tab/>
      </w:r>
      <w:r w:rsidRPr="00C34525">
        <w:rPr>
          <w:sz w:val="28"/>
          <w:szCs w:val="28"/>
          <w:u w:val="single"/>
        </w:rPr>
        <w:tab/>
      </w:r>
      <w:r w:rsidRPr="00C34525">
        <w:rPr>
          <w:sz w:val="28"/>
          <w:szCs w:val="28"/>
          <w:u w:val="single"/>
        </w:rPr>
        <w:tab/>
      </w:r>
      <w:r w:rsidRPr="00C34525">
        <w:rPr>
          <w:sz w:val="28"/>
          <w:szCs w:val="28"/>
          <w:u w:val="single"/>
        </w:rPr>
        <w:tab/>
      </w:r>
      <w:r w:rsidRPr="00C34525">
        <w:rPr>
          <w:sz w:val="28"/>
          <w:szCs w:val="28"/>
          <w:u w:val="single"/>
        </w:rPr>
        <w:tab/>
      </w:r>
    </w:p>
    <w:p w14:paraId="4A183E11" w14:textId="2CD4D85F" w:rsidR="00054C9A" w:rsidRPr="00C34525" w:rsidRDefault="00054C9A" w:rsidP="000B3420">
      <w:pPr>
        <w:spacing w:line="240" w:lineRule="auto"/>
        <w:ind w:left="3600" w:firstLine="720"/>
        <w:rPr>
          <w:sz w:val="28"/>
          <w:szCs w:val="28"/>
        </w:rPr>
      </w:pPr>
      <w:r w:rsidRPr="00C34525">
        <w:rPr>
          <w:sz w:val="28"/>
          <w:szCs w:val="28"/>
        </w:rPr>
        <w:t>Nancy A. Greenl</w:t>
      </w:r>
      <w:r w:rsidR="00ED00BE" w:rsidRPr="00C34525">
        <w:rPr>
          <w:sz w:val="28"/>
          <w:szCs w:val="28"/>
        </w:rPr>
        <w:t>e</w:t>
      </w:r>
      <w:r w:rsidRPr="00C34525">
        <w:rPr>
          <w:sz w:val="28"/>
          <w:szCs w:val="28"/>
        </w:rPr>
        <w:t>e</w:t>
      </w:r>
    </w:p>
    <w:p w14:paraId="39A3E63D" w14:textId="5FC4858E" w:rsidR="00054C9A" w:rsidRPr="00C34525" w:rsidRDefault="00054C9A" w:rsidP="00B25CB7">
      <w:pPr>
        <w:spacing w:line="240" w:lineRule="auto"/>
        <w:rPr>
          <w:sz w:val="28"/>
          <w:szCs w:val="28"/>
          <w:u w:val="single"/>
        </w:rPr>
      </w:pPr>
    </w:p>
    <w:p w14:paraId="55474651" w14:textId="7D1169DC" w:rsidR="004B35AB" w:rsidRDefault="004B35AB" w:rsidP="00ED00BE">
      <w:pPr>
        <w:spacing w:line="240" w:lineRule="auto"/>
        <w:rPr>
          <w:bCs/>
          <w:sz w:val="28"/>
          <w:szCs w:val="28"/>
        </w:rPr>
      </w:pPr>
    </w:p>
    <w:p w14:paraId="7E54B96C" w14:textId="77777777" w:rsidR="00605423" w:rsidRPr="00C34525" w:rsidRDefault="00605423" w:rsidP="00605423">
      <w:pPr>
        <w:spacing w:line="240" w:lineRule="auto"/>
        <w:rPr>
          <w:sz w:val="28"/>
          <w:szCs w:val="28"/>
          <w:u w:val="single"/>
        </w:rPr>
      </w:pPr>
      <w:r w:rsidRPr="00C34525">
        <w:rPr>
          <w:sz w:val="28"/>
          <w:szCs w:val="28"/>
        </w:rPr>
        <w:tab/>
      </w:r>
      <w:r w:rsidRPr="00C34525">
        <w:rPr>
          <w:sz w:val="28"/>
          <w:szCs w:val="28"/>
        </w:rPr>
        <w:tab/>
      </w:r>
      <w:r w:rsidRPr="00C34525">
        <w:rPr>
          <w:sz w:val="28"/>
          <w:szCs w:val="28"/>
        </w:rPr>
        <w:tab/>
      </w:r>
      <w:r w:rsidRPr="00C34525">
        <w:rPr>
          <w:sz w:val="28"/>
          <w:szCs w:val="28"/>
        </w:rPr>
        <w:tab/>
      </w:r>
      <w:r w:rsidRPr="00C34525">
        <w:rPr>
          <w:sz w:val="28"/>
          <w:szCs w:val="28"/>
        </w:rPr>
        <w:tab/>
      </w:r>
      <w:r w:rsidRPr="00C34525">
        <w:rPr>
          <w:sz w:val="28"/>
          <w:szCs w:val="28"/>
        </w:rPr>
        <w:tab/>
      </w:r>
      <w:r w:rsidRPr="00C34525">
        <w:rPr>
          <w:sz w:val="28"/>
          <w:szCs w:val="28"/>
          <w:u w:val="single"/>
        </w:rPr>
        <w:tab/>
      </w:r>
      <w:r w:rsidRPr="00C34525">
        <w:rPr>
          <w:sz w:val="28"/>
          <w:szCs w:val="28"/>
          <w:u w:val="single"/>
        </w:rPr>
        <w:tab/>
      </w:r>
      <w:r w:rsidRPr="00C34525">
        <w:rPr>
          <w:sz w:val="28"/>
          <w:szCs w:val="28"/>
          <w:u w:val="single"/>
        </w:rPr>
        <w:tab/>
      </w:r>
      <w:r w:rsidRPr="00C34525">
        <w:rPr>
          <w:sz w:val="28"/>
          <w:szCs w:val="28"/>
          <w:u w:val="single"/>
        </w:rPr>
        <w:tab/>
      </w:r>
      <w:r w:rsidRPr="00C34525">
        <w:rPr>
          <w:sz w:val="28"/>
          <w:szCs w:val="28"/>
          <w:u w:val="single"/>
        </w:rPr>
        <w:tab/>
      </w:r>
      <w:r w:rsidRPr="00C34525">
        <w:rPr>
          <w:sz w:val="28"/>
          <w:szCs w:val="28"/>
          <w:u w:val="single"/>
        </w:rPr>
        <w:tab/>
      </w:r>
      <w:r w:rsidRPr="00C34525">
        <w:rPr>
          <w:sz w:val="28"/>
          <w:szCs w:val="28"/>
          <w:u w:val="single"/>
        </w:rPr>
        <w:tab/>
      </w:r>
    </w:p>
    <w:p w14:paraId="135A68B7" w14:textId="77777777" w:rsidR="00605423" w:rsidRDefault="00605423" w:rsidP="00605423">
      <w:pPr>
        <w:spacing w:line="240" w:lineRule="auto"/>
        <w:ind w:left="3600" w:firstLine="720"/>
        <w:rPr>
          <w:sz w:val="28"/>
          <w:szCs w:val="28"/>
        </w:rPr>
      </w:pPr>
      <w:r w:rsidRPr="00C34525">
        <w:rPr>
          <w:sz w:val="28"/>
          <w:szCs w:val="28"/>
        </w:rPr>
        <w:t>Patricia A. Sallen</w:t>
      </w:r>
    </w:p>
    <w:p w14:paraId="3AC39AAB" w14:textId="0B4B8179" w:rsidR="00C532A0" w:rsidRPr="00C34525" w:rsidRDefault="00C532A0" w:rsidP="00ED00BE">
      <w:pPr>
        <w:spacing w:line="240" w:lineRule="auto"/>
        <w:rPr>
          <w:bCs/>
          <w:sz w:val="28"/>
          <w:szCs w:val="28"/>
        </w:rPr>
      </w:pPr>
    </w:p>
    <w:sectPr w:rsidR="00C532A0" w:rsidRPr="00C34525" w:rsidSect="00C324B5">
      <w:headerReference w:type="default" r:id="rId11"/>
      <w:footerReference w:type="default" r:id="rId12"/>
      <w:pgSz w:w="12240" w:h="15840" w:code="1"/>
      <w:pgMar w:top="-1526"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FEDA" w14:textId="77777777" w:rsidR="002201A3" w:rsidRDefault="002201A3">
      <w:r>
        <w:separator/>
      </w:r>
    </w:p>
  </w:endnote>
  <w:endnote w:type="continuationSeparator" w:id="0">
    <w:p w14:paraId="40CB8EAC" w14:textId="77777777" w:rsidR="002201A3" w:rsidRDefault="002201A3">
      <w:r>
        <w:continuationSeparator/>
      </w:r>
    </w:p>
  </w:endnote>
  <w:endnote w:type="continuationNotice" w:id="1">
    <w:p w14:paraId="4AA44131" w14:textId="77777777" w:rsidR="002201A3" w:rsidRDefault="002201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0B94" w14:textId="77777777" w:rsidR="004510C9" w:rsidRPr="0052472D" w:rsidRDefault="004510C9"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r w:rsidRPr="0052472D">
      <w:rPr>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188C" w14:textId="77777777" w:rsidR="002201A3" w:rsidRDefault="002201A3">
      <w:r>
        <w:separator/>
      </w:r>
    </w:p>
  </w:footnote>
  <w:footnote w:type="continuationSeparator" w:id="0">
    <w:p w14:paraId="2F69597D" w14:textId="77777777" w:rsidR="002201A3" w:rsidRDefault="002201A3">
      <w:r>
        <w:continuationSeparator/>
      </w:r>
    </w:p>
  </w:footnote>
  <w:footnote w:type="continuationNotice" w:id="1">
    <w:p w14:paraId="098FF3AA" w14:textId="77777777" w:rsidR="002201A3" w:rsidRDefault="002201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6618" w14:textId="77777777" w:rsidR="004510C9" w:rsidRDefault="00E62059">
    <w:pPr>
      <w:pStyle w:val="Header"/>
    </w:pPr>
    <w:r>
      <w:rPr>
        <w:noProof/>
      </w:rPr>
      <mc:AlternateContent>
        <mc:Choice Requires="wps">
          <w:drawing>
            <wp:anchor distT="0" distB="0" distL="114300" distR="114300" simplePos="0" relativeHeight="251658240" behindDoc="0" locked="0" layoutInCell="1" allowOverlap="1" wp14:anchorId="2545841C" wp14:editId="76E9E02A">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67D22"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05499BBB" wp14:editId="73E7FAC5">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58C99"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">
              <w10:wrap anchorx="margin" anchory="page"/>
            </v:line>
          </w:pict>
        </mc:Fallback>
      </mc:AlternateContent>
    </w:r>
    <w:r>
      <w:rPr>
        <w:noProof/>
      </w:rPr>
      <mc:AlternateContent>
        <mc:Choice Requires="wps">
          <w:drawing>
            <wp:anchor distT="0" distB="0" distL="114300" distR="114300" simplePos="0" relativeHeight="251658242" behindDoc="0" locked="0" layoutInCell="1" allowOverlap="1" wp14:anchorId="258C4D5B" wp14:editId="12806438">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168BF" w14:textId="77777777" w:rsidR="004510C9" w:rsidRPr="006756B7" w:rsidRDefault="004510C9" w:rsidP="00484E40">
                          <w:pPr>
                            <w:spacing w:line="480" w:lineRule="auto"/>
                            <w:jc w:val="right"/>
                            <w:rPr>
                              <w:sz w:val="28"/>
                              <w:szCs w:val="28"/>
                            </w:rPr>
                          </w:pPr>
                          <w:r w:rsidRPr="006756B7">
                            <w:rPr>
                              <w:sz w:val="28"/>
                              <w:szCs w:val="28"/>
                            </w:rPr>
                            <w:t>1</w:t>
                          </w:r>
                        </w:p>
                        <w:p w14:paraId="7F6C4E42" w14:textId="77777777" w:rsidR="004510C9" w:rsidRPr="006756B7" w:rsidRDefault="004510C9" w:rsidP="00484E40">
                          <w:pPr>
                            <w:spacing w:line="480" w:lineRule="auto"/>
                            <w:jc w:val="right"/>
                            <w:rPr>
                              <w:sz w:val="28"/>
                              <w:szCs w:val="28"/>
                            </w:rPr>
                          </w:pPr>
                          <w:r w:rsidRPr="006756B7">
                            <w:rPr>
                              <w:sz w:val="28"/>
                              <w:szCs w:val="28"/>
                            </w:rPr>
                            <w:t>2</w:t>
                          </w:r>
                        </w:p>
                        <w:p w14:paraId="7903493C" w14:textId="77777777" w:rsidR="004510C9" w:rsidRPr="006756B7" w:rsidRDefault="004510C9" w:rsidP="00484E40">
                          <w:pPr>
                            <w:spacing w:line="480" w:lineRule="auto"/>
                            <w:jc w:val="right"/>
                            <w:rPr>
                              <w:sz w:val="28"/>
                              <w:szCs w:val="28"/>
                            </w:rPr>
                          </w:pPr>
                          <w:r w:rsidRPr="006756B7">
                            <w:rPr>
                              <w:sz w:val="28"/>
                              <w:szCs w:val="28"/>
                            </w:rPr>
                            <w:t>3</w:t>
                          </w:r>
                        </w:p>
                        <w:p w14:paraId="0E1D8E64" w14:textId="77777777" w:rsidR="004510C9" w:rsidRPr="006756B7" w:rsidRDefault="004510C9" w:rsidP="00484E40">
                          <w:pPr>
                            <w:spacing w:line="480" w:lineRule="auto"/>
                            <w:jc w:val="right"/>
                            <w:rPr>
                              <w:sz w:val="28"/>
                              <w:szCs w:val="28"/>
                            </w:rPr>
                          </w:pPr>
                          <w:r w:rsidRPr="006756B7">
                            <w:rPr>
                              <w:sz w:val="28"/>
                              <w:szCs w:val="28"/>
                            </w:rPr>
                            <w:t>4</w:t>
                          </w:r>
                        </w:p>
                        <w:p w14:paraId="1EEC5517" w14:textId="77777777" w:rsidR="004510C9" w:rsidRPr="006756B7" w:rsidRDefault="004510C9" w:rsidP="00484E40">
                          <w:pPr>
                            <w:spacing w:line="480" w:lineRule="auto"/>
                            <w:jc w:val="right"/>
                            <w:rPr>
                              <w:sz w:val="28"/>
                              <w:szCs w:val="28"/>
                            </w:rPr>
                          </w:pPr>
                          <w:r w:rsidRPr="006756B7">
                            <w:rPr>
                              <w:sz w:val="28"/>
                              <w:szCs w:val="28"/>
                            </w:rPr>
                            <w:t>5</w:t>
                          </w:r>
                        </w:p>
                        <w:p w14:paraId="6B89271F" w14:textId="77777777" w:rsidR="004510C9" w:rsidRPr="006756B7" w:rsidRDefault="004510C9" w:rsidP="00484E40">
                          <w:pPr>
                            <w:spacing w:line="480" w:lineRule="auto"/>
                            <w:jc w:val="right"/>
                            <w:rPr>
                              <w:sz w:val="28"/>
                              <w:szCs w:val="28"/>
                            </w:rPr>
                          </w:pPr>
                          <w:r w:rsidRPr="006756B7">
                            <w:rPr>
                              <w:sz w:val="28"/>
                              <w:szCs w:val="28"/>
                            </w:rPr>
                            <w:t>6</w:t>
                          </w:r>
                        </w:p>
                        <w:p w14:paraId="07AED351" w14:textId="77777777" w:rsidR="004510C9" w:rsidRPr="006756B7" w:rsidRDefault="004510C9" w:rsidP="00484E40">
                          <w:pPr>
                            <w:spacing w:line="480" w:lineRule="auto"/>
                            <w:jc w:val="right"/>
                            <w:rPr>
                              <w:sz w:val="28"/>
                              <w:szCs w:val="28"/>
                            </w:rPr>
                          </w:pPr>
                          <w:r w:rsidRPr="006756B7">
                            <w:rPr>
                              <w:sz w:val="28"/>
                              <w:szCs w:val="28"/>
                            </w:rPr>
                            <w:t>7</w:t>
                          </w:r>
                        </w:p>
                        <w:p w14:paraId="58ED7210" w14:textId="77777777" w:rsidR="004510C9" w:rsidRPr="006756B7" w:rsidRDefault="004510C9" w:rsidP="00484E40">
                          <w:pPr>
                            <w:spacing w:line="480" w:lineRule="auto"/>
                            <w:jc w:val="right"/>
                            <w:rPr>
                              <w:sz w:val="28"/>
                              <w:szCs w:val="28"/>
                            </w:rPr>
                          </w:pPr>
                          <w:r w:rsidRPr="006756B7">
                            <w:rPr>
                              <w:sz w:val="28"/>
                              <w:szCs w:val="28"/>
                            </w:rPr>
                            <w:t>8</w:t>
                          </w:r>
                        </w:p>
                        <w:p w14:paraId="283DAD06" w14:textId="77777777" w:rsidR="004510C9" w:rsidRPr="006756B7" w:rsidRDefault="004510C9" w:rsidP="00484E40">
                          <w:pPr>
                            <w:spacing w:line="480" w:lineRule="auto"/>
                            <w:jc w:val="right"/>
                            <w:rPr>
                              <w:sz w:val="28"/>
                              <w:szCs w:val="28"/>
                            </w:rPr>
                          </w:pPr>
                          <w:r w:rsidRPr="006756B7">
                            <w:rPr>
                              <w:sz w:val="28"/>
                              <w:szCs w:val="28"/>
                            </w:rPr>
                            <w:t>9</w:t>
                          </w:r>
                        </w:p>
                        <w:p w14:paraId="61239785" w14:textId="77777777" w:rsidR="004510C9" w:rsidRPr="006756B7" w:rsidRDefault="004510C9" w:rsidP="00484E40">
                          <w:pPr>
                            <w:spacing w:line="480" w:lineRule="auto"/>
                            <w:jc w:val="right"/>
                            <w:rPr>
                              <w:sz w:val="28"/>
                              <w:szCs w:val="28"/>
                            </w:rPr>
                          </w:pPr>
                          <w:r w:rsidRPr="006756B7">
                            <w:rPr>
                              <w:sz w:val="28"/>
                              <w:szCs w:val="28"/>
                            </w:rPr>
                            <w:t>10</w:t>
                          </w:r>
                        </w:p>
                        <w:p w14:paraId="2D78A914" w14:textId="77777777" w:rsidR="004510C9" w:rsidRPr="006756B7" w:rsidRDefault="004510C9" w:rsidP="00484E40">
                          <w:pPr>
                            <w:spacing w:line="480" w:lineRule="auto"/>
                            <w:jc w:val="right"/>
                            <w:rPr>
                              <w:sz w:val="28"/>
                              <w:szCs w:val="28"/>
                            </w:rPr>
                          </w:pPr>
                          <w:r w:rsidRPr="006756B7">
                            <w:rPr>
                              <w:sz w:val="28"/>
                              <w:szCs w:val="28"/>
                            </w:rPr>
                            <w:t>11</w:t>
                          </w:r>
                        </w:p>
                        <w:p w14:paraId="08FB1CFD" w14:textId="77777777" w:rsidR="004510C9" w:rsidRPr="006756B7" w:rsidRDefault="004510C9" w:rsidP="00484E40">
                          <w:pPr>
                            <w:spacing w:line="480" w:lineRule="auto"/>
                            <w:jc w:val="right"/>
                            <w:rPr>
                              <w:sz w:val="28"/>
                              <w:szCs w:val="28"/>
                            </w:rPr>
                          </w:pPr>
                          <w:r w:rsidRPr="006756B7">
                            <w:rPr>
                              <w:sz w:val="28"/>
                              <w:szCs w:val="28"/>
                            </w:rPr>
                            <w:t>12</w:t>
                          </w:r>
                        </w:p>
                        <w:p w14:paraId="2493DCA5" w14:textId="77777777" w:rsidR="004510C9" w:rsidRPr="006756B7" w:rsidRDefault="004510C9" w:rsidP="00484E40">
                          <w:pPr>
                            <w:spacing w:line="480" w:lineRule="auto"/>
                            <w:jc w:val="right"/>
                            <w:rPr>
                              <w:sz w:val="28"/>
                              <w:szCs w:val="28"/>
                            </w:rPr>
                          </w:pPr>
                          <w:r w:rsidRPr="006756B7">
                            <w:rPr>
                              <w:sz w:val="28"/>
                              <w:szCs w:val="28"/>
                            </w:rPr>
                            <w:t>13</w:t>
                          </w:r>
                        </w:p>
                        <w:p w14:paraId="57846B66" w14:textId="77777777" w:rsidR="004510C9" w:rsidRPr="006756B7" w:rsidRDefault="004510C9" w:rsidP="00484E40">
                          <w:pPr>
                            <w:spacing w:line="480" w:lineRule="auto"/>
                            <w:jc w:val="right"/>
                            <w:rPr>
                              <w:sz w:val="28"/>
                              <w:szCs w:val="28"/>
                            </w:rPr>
                          </w:pPr>
                          <w:r w:rsidRPr="006756B7">
                            <w:rPr>
                              <w:sz w:val="28"/>
                              <w:szCs w:val="28"/>
                            </w:rPr>
                            <w:t>14</w:t>
                          </w:r>
                        </w:p>
                        <w:p w14:paraId="0E191082" w14:textId="77777777" w:rsidR="004510C9" w:rsidRPr="006756B7" w:rsidRDefault="004510C9" w:rsidP="00484E40">
                          <w:pPr>
                            <w:spacing w:line="480" w:lineRule="auto"/>
                            <w:jc w:val="right"/>
                            <w:rPr>
                              <w:sz w:val="28"/>
                              <w:szCs w:val="28"/>
                            </w:rPr>
                          </w:pPr>
                          <w:r w:rsidRPr="006756B7">
                            <w:rPr>
                              <w:sz w:val="28"/>
                              <w:szCs w:val="28"/>
                            </w:rPr>
                            <w:t>15</w:t>
                          </w:r>
                        </w:p>
                        <w:p w14:paraId="729B06A4" w14:textId="77777777" w:rsidR="004510C9" w:rsidRPr="006756B7" w:rsidRDefault="004510C9" w:rsidP="00484E40">
                          <w:pPr>
                            <w:spacing w:line="480" w:lineRule="auto"/>
                            <w:jc w:val="right"/>
                            <w:rPr>
                              <w:sz w:val="28"/>
                              <w:szCs w:val="28"/>
                            </w:rPr>
                          </w:pPr>
                          <w:r w:rsidRPr="006756B7">
                            <w:rPr>
                              <w:sz w:val="28"/>
                              <w:szCs w:val="28"/>
                            </w:rPr>
                            <w:t>16</w:t>
                          </w:r>
                        </w:p>
                        <w:p w14:paraId="405AC35B" w14:textId="77777777" w:rsidR="004510C9" w:rsidRPr="006756B7" w:rsidRDefault="004510C9" w:rsidP="00484E40">
                          <w:pPr>
                            <w:spacing w:line="480" w:lineRule="auto"/>
                            <w:jc w:val="right"/>
                            <w:rPr>
                              <w:sz w:val="28"/>
                              <w:szCs w:val="28"/>
                            </w:rPr>
                          </w:pPr>
                          <w:r w:rsidRPr="006756B7">
                            <w:rPr>
                              <w:sz w:val="28"/>
                              <w:szCs w:val="28"/>
                            </w:rPr>
                            <w:t>17</w:t>
                          </w:r>
                        </w:p>
                        <w:p w14:paraId="7505449C" w14:textId="77777777" w:rsidR="004510C9" w:rsidRPr="006756B7" w:rsidRDefault="004510C9" w:rsidP="00484E40">
                          <w:pPr>
                            <w:spacing w:line="480" w:lineRule="auto"/>
                            <w:jc w:val="right"/>
                            <w:rPr>
                              <w:sz w:val="28"/>
                              <w:szCs w:val="28"/>
                            </w:rPr>
                          </w:pPr>
                          <w:r w:rsidRPr="006756B7">
                            <w:rPr>
                              <w:sz w:val="28"/>
                              <w:szCs w:val="28"/>
                            </w:rPr>
                            <w:t>18</w:t>
                          </w:r>
                        </w:p>
                        <w:p w14:paraId="66260A9B" w14:textId="77777777" w:rsidR="004510C9" w:rsidRPr="006756B7" w:rsidRDefault="004510C9" w:rsidP="00484E40">
                          <w:pPr>
                            <w:spacing w:line="480" w:lineRule="auto"/>
                            <w:jc w:val="right"/>
                            <w:rPr>
                              <w:sz w:val="28"/>
                              <w:szCs w:val="28"/>
                            </w:rPr>
                          </w:pPr>
                          <w:r w:rsidRPr="006756B7">
                            <w:rPr>
                              <w:sz w:val="28"/>
                              <w:szCs w:val="28"/>
                            </w:rPr>
                            <w:t>19</w:t>
                          </w:r>
                        </w:p>
                        <w:p w14:paraId="5C71D8EA" w14:textId="77777777" w:rsidR="004510C9" w:rsidRPr="006756B7" w:rsidRDefault="004510C9" w:rsidP="00484E40">
                          <w:pPr>
                            <w:spacing w:line="480" w:lineRule="auto"/>
                            <w:jc w:val="right"/>
                            <w:rPr>
                              <w:sz w:val="28"/>
                              <w:szCs w:val="28"/>
                            </w:rPr>
                          </w:pPr>
                          <w:r w:rsidRPr="006756B7">
                            <w:rPr>
                              <w:sz w:val="28"/>
                              <w:szCs w:val="28"/>
                            </w:rPr>
                            <w:t>20</w:t>
                          </w:r>
                        </w:p>
                        <w:p w14:paraId="169B6579" w14:textId="77777777" w:rsidR="004510C9" w:rsidRPr="006756B7" w:rsidRDefault="004510C9"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58C4D5B" id="_x0000_t202" coordsize="21600,21600" o:spt="202" path="m,l,21600r21600,l21600,xe">
              <v:stroke joinstyle="miter"/>
              <v:path gradientshapeok="t" o:connecttype="rect"/>
            </v:shapetype>
            <v:shape id="LineNumbers" o:spid="_x0000_s1026" type="#_x0000_t202" style="position:absolute;margin-left:-30pt;margin-top:0;width:16pt;height:9in;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" filled="f" stroked="f">
              <v:textbox inset="0,0,0,0">
                <w:txbxContent>
                  <w:p w14:paraId="629168BF" w14:textId="77777777" w:rsidR="004510C9" w:rsidRPr="006756B7" w:rsidRDefault="004510C9" w:rsidP="00484E40">
                    <w:pPr>
                      <w:spacing w:line="480" w:lineRule="auto"/>
                      <w:jc w:val="right"/>
                      <w:rPr>
                        <w:sz w:val="28"/>
                        <w:szCs w:val="28"/>
                      </w:rPr>
                    </w:pPr>
                    <w:r w:rsidRPr="006756B7">
                      <w:rPr>
                        <w:sz w:val="28"/>
                        <w:szCs w:val="28"/>
                      </w:rPr>
                      <w:t>1</w:t>
                    </w:r>
                  </w:p>
                  <w:p w14:paraId="7F6C4E42" w14:textId="77777777" w:rsidR="004510C9" w:rsidRPr="006756B7" w:rsidRDefault="004510C9" w:rsidP="00484E40">
                    <w:pPr>
                      <w:spacing w:line="480" w:lineRule="auto"/>
                      <w:jc w:val="right"/>
                      <w:rPr>
                        <w:sz w:val="28"/>
                        <w:szCs w:val="28"/>
                      </w:rPr>
                    </w:pPr>
                    <w:r w:rsidRPr="006756B7">
                      <w:rPr>
                        <w:sz w:val="28"/>
                        <w:szCs w:val="28"/>
                      </w:rPr>
                      <w:t>2</w:t>
                    </w:r>
                  </w:p>
                  <w:p w14:paraId="7903493C" w14:textId="77777777" w:rsidR="004510C9" w:rsidRPr="006756B7" w:rsidRDefault="004510C9" w:rsidP="00484E40">
                    <w:pPr>
                      <w:spacing w:line="480" w:lineRule="auto"/>
                      <w:jc w:val="right"/>
                      <w:rPr>
                        <w:sz w:val="28"/>
                        <w:szCs w:val="28"/>
                      </w:rPr>
                    </w:pPr>
                    <w:r w:rsidRPr="006756B7">
                      <w:rPr>
                        <w:sz w:val="28"/>
                        <w:szCs w:val="28"/>
                      </w:rPr>
                      <w:t>3</w:t>
                    </w:r>
                  </w:p>
                  <w:p w14:paraId="0E1D8E64" w14:textId="77777777" w:rsidR="004510C9" w:rsidRPr="006756B7" w:rsidRDefault="004510C9" w:rsidP="00484E40">
                    <w:pPr>
                      <w:spacing w:line="480" w:lineRule="auto"/>
                      <w:jc w:val="right"/>
                      <w:rPr>
                        <w:sz w:val="28"/>
                        <w:szCs w:val="28"/>
                      </w:rPr>
                    </w:pPr>
                    <w:r w:rsidRPr="006756B7">
                      <w:rPr>
                        <w:sz w:val="28"/>
                        <w:szCs w:val="28"/>
                      </w:rPr>
                      <w:t>4</w:t>
                    </w:r>
                  </w:p>
                  <w:p w14:paraId="1EEC5517" w14:textId="77777777" w:rsidR="004510C9" w:rsidRPr="006756B7" w:rsidRDefault="004510C9" w:rsidP="00484E40">
                    <w:pPr>
                      <w:spacing w:line="480" w:lineRule="auto"/>
                      <w:jc w:val="right"/>
                      <w:rPr>
                        <w:sz w:val="28"/>
                        <w:szCs w:val="28"/>
                      </w:rPr>
                    </w:pPr>
                    <w:r w:rsidRPr="006756B7">
                      <w:rPr>
                        <w:sz w:val="28"/>
                        <w:szCs w:val="28"/>
                      </w:rPr>
                      <w:t>5</w:t>
                    </w:r>
                  </w:p>
                  <w:p w14:paraId="6B89271F" w14:textId="77777777" w:rsidR="004510C9" w:rsidRPr="006756B7" w:rsidRDefault="004510C9" w:rsidP="00484E40">
                    <w:pPr>
                      <w:spacing w:line="480" w:lineRule="auto"/>
                      <w:jc w:val="right"/>
                      <w:rPr>
                        <w:sz w:val="28"/>
                        <w:szCs w:val="28"/>
                      </w:rPr>
                    </w:pPr>
                    <w:r w:rsidRPr="006756B7">
                      <w:rPr>
                        <w:sz w:val="28"/>
                        <w:szCs w:val="28"/>
                      </w:rPr>
                      <w:t>6</w:t>
                    </w:r>
                  </w:p>
                  <w:p w14:paraId="07AED351" w14:textId="77777777" w:rsidR="004510C9" w:rsidRPr="006756B7" w:rsidRDefault="004510C9" w:rsidP="00484E40">
                    <w:pPr>
                      <w:spacing w:line="480" w:lineRule="auto"/>
                      <w:jc w:val="right"/>
                      <w:rPr>
                        <w:sz w:val="28"/>
                        <w:szCs w:val="28"/>
                      </w:rPr>
                    </w:pPr>
                    <w:r w:rsidRPr="006756B7">
                      <w:rPr>
                        <w:sz w:val="28"/>
                        <w:szCs w:val="28"/>
                      </w:rPr>
                      <w:t>7</w:t>
                    </w:r>
                  </w:p>
                  <w:p w14:paraId="58ED7210" w14:textId="77777777" w:rsidR="004510C9" w:rsidRPr="006756B7" w:rsidRDefault="004510C9" w:rsidP="00484E40">
                    <w:pPr>
                      <w:spacing w:line="480" w:lineRule="auto"/>
                      <w:jc w:val="right"/>
                      <w:rPr>
                        <w:sz w:val="28"/>
                        <w:szCs w:val="28"/>
                      </w:rPr>
                    </w:pPr>
                    <w:r w:rsidRPr="006756B7">
                      <w:rPr>
                        <w:sz w:val="28"/>
                        <w:szCs w:val="28"/>
                      </w:rPr>
                      <w:t>8</w:t>
                    </w:r>
                  </w:p>
                  <w:p w14:paraId="283DAD06" w14:textId="77777777" w:rsidR="004510C9" w:rsidRPr="006756B7" w:rsidRDefault="004510C9" w:rsidP="00484E40">
                    <w:pPr>
                      <w:spacing w:line="480" w:lineRule="auto"/>
                      <w:jc w:val="right"/>
                      <w:rPr>
                        <w:sz w:val="28"/>
                        <w:szCs w:val="28"/>
                      </w:rPr>
                    </w:pPr>
                    <w:r w:rsidRPr="006756B7">
                      <w:rPr>
                        <w:sz w:val="28"/>
                        <w:szCs w:val="28"/>
                      </w:rPr>
                      <w:t>9</w:t>
                    </w:r>
                  </w:p>
                  <w:p w14:paraId="61239785" w14:textId="77777777" w:rsidR="004510C9" w:rsidRPr="006756B7" w:rsidRDefault="004510C9" w:rsidP="00484E40">
                    <w:pPr>
                      <w:spacing w:line="480" w:lineRule="auto"/>
                      <w:jc w:val="right"/>
                      <w:rPr>
                        <w:sz w:val="28"/>
                        <w:szCs w:val="28"/>
                      </w:rPr>
                    </w:pPr>
                    <w:r w:rsidRPr="006756B7">
                      <w:rPr>
                        <w:sz w:val="28"/>
                        <w:szCs w:val="28"/>
                      </w:rPr>
                      <w:t>10</w:t>
                    </w:r>
                  </w:p>
                  <w:p w14:paraId="2D78A914" w14:textId="77777777" w:rsidR="004510C9" w:rsidRPr="006756B7" w:rsidRDefault="004510C9" w:rsidP="00484E40">
                    <w:pPr>
                      <w:spacing w:line="480" w:lineRule="auto"/>
                      <w:jc w:val="right"/>
                      <w:rPr>
                        <w:sz w:val="28"/>
                        <w:szCs w:val="28"/>
                      </w:rPr>
                    </w:pPr>
                    <w:r w:rsidRPr="006756B7">
                      <w:rPr>
                        <w:sz w:val="28"/>
                        <w:szCs w:val="28"/>
                      </w:rPr>
                      <w:t>11</w:t>
                    </w:r>
                  </w:p>
                  <w:p w14:paraId="08FB1CFD" w14:textId="77777777" w:rsidR="004510C9" w:rsidRPr="006756B7" w:rsidRDefault="004510C9" w:rsidP="00484E40">
                    <w:pPr>
                      <w:spacing w:line="480" w:lineRule="auto"/>
                      <w:jc w:val="right"/>
                      <w:rPr>
                        <w:sz w:val="28"/>
                        <w:szCs w:val="28"/>
                      </w:rPr>
                    </w:pPr>
                    <w:r w:rsidRPr="006756B7">
                      <w:rPr>
                        <w:sz w:val="28"/>
                        <w:szCs w:val="28"/>
                      </w:rPr>
                      <w:t>12</w:t>
                    </w:r>
                  </w:p>
                  <w:p w14:paraId="2493DCA5" w14:textId="77777777" w:rsidR="004510C9" w:rsidRPr="006756B7" w:rsidRDefault="004510C9" w:rsidP="00484E40">
                    <w:pPr>
                      <w:spacing w:line="480" w:lineRule="auto"/>
                      <w:jc w:val="right"/>
                      <w:rPr>
                        <w:sz w:val="28"/>
                        <w:szCs w:val="28"/>
                      </w:rPr>
                    </w:pPr>
                    <w:r w:rsidRPr="006756B7">
                      <w:rPr>
                        <w:sz w:val="28"/>
                        <w:szCs w:val="28"/>
                      </w:rPr>
                      <w:t>13</w:t>
                    </w:r>
                  </w:p>
                  <w:p w14:paraId="57846B66" w14:textId="77777777" w:rsidR="004510C9" w:rsidRPr="006756B7" w:rsidRDefault="004510C9" w:rsidP="00484E40">
                    <w:pPr>
                      <w:spacing w:line="480" w:lineRule="auto"/>
                      <w:jc w:val="right"/>
                      <w:rPr>
                        <w:sz w:val="28"/>
                        <w:szCs w:val="28"/>
                      </w:rPr>
                    </w:pPr>
                    <w:r w:rsidRPr="006756B7">
                      <w:rPr>
                        <w:sz w:val="28"/>
                        <w:szCs w:val="28"/>
                      </w:rPr>
                      <w:t>14</w:t>
                    </w:r>
                  </w:p>
                  <w:p w14:paraId="0E191082" w14:textId="77777777" w:rsidR="004510C9" w:rsidRPr="006756B7" w:rsidRDefault="004510C9" w:rsidP="00484E40">
                    <w:pPr>
                      <w:spacing w:line="480" w:lineRule="auto"/>
                      <w:jc w:val="right"/>
                      <w:rPr>
                        <w:sz w:val="28"/>
                        <w:szCs w:val="28"/>
                      </w:rPr>
                    </w:pPr>
                    <w:r w:rsidRPr="006756B7">
                      <w:rPr>
                        <w:sz w:val="28"/>
                        <w:szCs w:val="28"/>
                      </w:rPr>
                      <w:t>15</w:t>
                    </w:r>
                  </w:p>
                  <w:p w14:paraId="729B06A4" w14:textId="77777777" w:rsidR="004510C9" w:rsidRPr="006756B7" w:rsidRDefault="004510C9" w:rsidP="00484E40">
                    <w:pPr>
                      <w:spacing w:line="480" w:lineRule="auto"/>
                      <w:jc w:val="right"/>
                      <w:rPr>
                        <w:sz w:val="28"/>
                        <w:szCs w:val="28"/>
                      </w:rPr>
                    </w:pPr>
                    <w:r w:rsidRPr="006756B7">
                      <w:rPr>
                        <w:sz w:val="28"/>
                        <w:szCs w:val="28"/>
                      </w:rPr>
                      <w:t>16</w:t>
                    </w:r>
                  </w:p>
                  <w:p w14:paraId="405AC35B" w14:textId="77777777" w:rsidR="004510C9" w:rsidRPr="006756B7" w:rsidRDefault="004510C9" w:rsidP="00484E40">
                    <w:pPr>
                      <w:spacing w:line="480" w:lineRule="auto"/>
                      <w:jc w:val="right"/>
                      <w:rPr>
                        <w:sz w:val="28"/>
                        <w:szCs w:val="28"/>
                      </w:rPr>
                    </w:pPr>
                    <w:r w:rsidRPr="006756B7">
                      <w:rPr>
                        <w:sz w:val="28"/>
                        <w:szCs w:val="28"/>
                      </w:rPr>
                      <w:t>17</w:t>
                    </w:r>
                  </w:p>
                  <w:p w14:paraId="7505449C" w14:textId="77777777" w:rsidR="004510C9" w:rsidRPr="006756B7" w:rsidRDefault="004510C9" w:rsidP="00484E40">
                    <w:pPr>
                      <w:spacing w:line="480" w:lineRule="auto"/>
                      <w:jc w:val="right"/>
                      <w:rPr>
                        <w:sz w:val="28"/>
                        <w:szCs w:val="28"/>
                      </w:rPr>
                    </w:pPr>
                    <w:r w:rsidRPr="006756B7">
                      <w:rPr>
                        <w:sz w:val="28"/>
                        <w:szCs w:val="28"/>
                      </w:rPr>
                      <w:t>18</w:t>
                    </w:r>
                  </w:p>
                  <w:p w14:paraId="66260A9B" w14:textId="77777777" w:rsidR="004510C9" w:rsidRPr="006756B7" w:rsidRDefault="004510C9" w:rsidP="00484E40">
                    <w:pPr>
                      <w:spacing w:line="480" w:lineRule="auto"/>
                      <w:jc w:val="right"/>
                      <w:rPr>
                        <w:sz w:val="28"/>
                        <w:szCs w:val="28"/>
                      </w:rPr>
                    </w:pPr>
                    <w:r w:rsidRPr="006756B7">
                      <w:rPr>
                        <w:sz w:val="28"/>
                        <w:szCs w:val="28"/>
                      </w:rPr>
                      <w:t>19</w:t>
                    </w:r>
                  </w:p>
                  <w:p w14:paraId="5C71D8EA" w14:textId="77777777" w:rsidR="004510C9" w:rsidRPr="006756B7" w:rsidRDefault="004510C9" w:rsidP="00484E40">
                    <w:pPr>
                      <w:spacing w:line="480" w:lineRule="auto"/>
                      <w:jc w:val="right"/>
                      <w:rPr>
                        <w:sz w:val="28"/>
                        <w:szCs w:val="28"/>
                      </w:rPr>
                    </w:pPr>
                    <w:r w:rsidRPr="006756B7">
                      <w:rPr>
                        <w:sz w:val="28"/>
                        <w:szCs w:val="28"/>
                      </w:rPr>
                      <w:t>20</w:t>
                    </w:r>
                  </w:p>
                  <w:p w14:paraId="169B6579" w14:textId="77777777" w:rsidR="004510C9" w:rsidRPr="006756B7" w:rsidRDefault="004510C9"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30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14000"/>
    <w:rsid w:val="000248BE"/>
    <w:rsid w:val="00032E9B"/>
    <w:rsid w:val="0003340C"/>
    <w:rsid w:val="00033C4C"/>
    <w:rsid w:val="00035726"/>
    <w:rsid w:val="00040E91"/>
    <w:rsid w:val="000454BE"/>
    <w:rsid w:val="00047626"/>
    <w:rsid w:val="00054C9A"/>
    <w:rsid w:val="000560AD"/>
    <w:rsid w:val="000564DE"/>
    <w:rsid w:val="0006305F"/>
    <w:rsid w:val="00064534"/>
    <w:rsid w:val="00064AAB"/>
    <w:rsid w:val="0006558D"/>
    <w:rsid w:val="00066179"/>
    <w:rsid w:val="000707B7"/>
    <w:rsid w:val="000715D5"/>
    <w:rsid w:val="0007193C"/>
    <w:rsid w:val="00081501"/>
    <w:rsid w:val="00085062"/>
    <w:rsid w:val="00085B14"/>
    <w:rsid w:val="00086088"/>
    <w:rsid w:val="0009527C"/>
    <w:rsid w:val="000A6E16"/>
    <w:rsid w:val="000A7B31"/>
    <w:rsid w:val="000B042A"/>
    <w:rsid w:val="000B1947"/>
    <w:rsid w:val="000B3420"/>
    <w:rsid w:val="000B732E"/>
    <w:rsid w:val="000C38F7"/>
    <w:rsid w:val="000C3D02"/>
    <w:rsid w:val="000C5E22"/>
    <w:rsid w:val="000D788F"/>
    <w:rsid w:val="000E4B48"/>
    <w:rsid w:val="000E7041"/>
    <w:rsid w:val="000F0050"/>
    <w:rsid w:val="000F62CC"/>
    <w:rsid w:val="000F7775"/>
    <w:rsid w:val="000F7C38"/>
    <w:rsid w:val="001010D8"/>
    <w:rsid w:val="001069A2"/>
    <w:rsid w:val="0011286D"/>
    <w:rsid w:val="001261C9"/>
    <w:rsid w:val="001316D7"/>
    <w:rsid w:val="001452F3"/>
    <w:rsid w:val="00147CBB"/>
    <w:rsid w:val="00151259"/>
    <w:rsid w:val="00151A32"/>
    <w:rsid w:val="001529E4"/>
    <w:rsid w:val="00163872"/>
    <w:rsid w:val="00171306"/>
    <w:rsid w:val="00173466"/>
    <w:rsid w:val="00175141"/>
    <w:rsid w:val="00190370"/>
    <w:rsid w:val="0019142A"/>
    <w:rsid w:val="00192471"/>
    <w:rsid w:val="001948F6"/>
    <w:rsid w:val="001A38D9"/>
    <w:rsid w:val="001A5D66"/>
    <w:rsid w:val="001C37F6"/>
    <w:rsid w:val="001C5531"/>
    <w:rsid w:val="001D6D12"/>
    <w:rsid w:val="001E1882"/>
    <w:rsid w:val="001E2309"/>
    <w:rsid w:val="001E6C7C"/>
    <w:rsid w:val="001F08A4"/>
    <w:rsid w:val="001F4069"/>
    <w:rsid w:val="00204D5A"/>
    <w:rsid w:val="00212714"/>
    <w:rsid w:val="00212F43"/>
    <w:rsid w:val="002154DC"/>
    <w:rsid w:val="002173F5"/>
    <w:rsid w:val="00217807"/>
    <w:rsid w:val="002201A3"/>
    <w:rsid w:val="00221B67"/>
    <w:rsid w:val="00231436"/>
    <w:rsid w:val="00231693"/>
    <w:rsid w:val="00233F8C"/>
    <w:rsid w:val="002402E4"/>
    <w:rsid w:val="00247C66"/>
    <w:rsid w:val="0025219B"/>
    <w:rsid w:val="00253B5D"/>
    <w:rsid w:val="002554E0"/>
    <w:rsid w:val="00257C5E"/>
    <w:rsid w:val="002862AF"/>
    <w:rsid w:val="00287840"/>
    <w:rsid w:val="00290ED2"/>
    <w:rsid w:val="00291763"/>
    <w:rsid w:val="00296073"/>
    <w:rsid w:val="002B0D5C"/>
    <w:rsid w:val="002B5678"/>
    <w:rsid w:val="002E357A"/>
    <w:rsid w:val="0030511D"/>
    <w:rsid w:val="0031075F"/>
    <w:rsid w:val="00313351"/>
    <w:rsid w:val="00326F11"/>
    <w:rsid w:val="00333A4F"/>
    <w:rsid w:val="00340352"/>
    <w:rsid w:val="0034182F"/>
    <w:rsid w:val="00342F6D"/>
    <w:rsid w:val="0034554B"/>
    <w:rsid w:val="003560E6"/>
    <w:rsid w:val="0035686E"/>
    <w:rsid w:val="00357303"/>
    <w:rsid w:val="003600A2"/>
    <w:rsid w:val="00362F05"/>
    <w:rsid w:val="003745EA"/>
    <w:rsid w:val="00382D20"/>
    <w:rsid w:val="00382D41"/>
    <w:rsid w:val="003968E2"/>
    <w:rsid w:val="003A05DE"/>
    <w:rsid w:val="003A79B6"/>
    <w:rsid w:val="003B1521"/>
    <w:rsid w:val="003B3096"/>
    <w:rsid w:val="003C41E6"/>
    <w:rsid w:val="003E184F"/>
    <w:rsid w:val="003E573A"/>
    <w:rsid w:val="003E7F65"/>
    <w:rsid w:val="003F101E"/>
    <w:rsid w:val="003F35BD"/>
    <w:rsid w:val="003F79B9"/>
    <w:rsid w:val="00412875"/>
    <w:rsid w:val="00416E14"/>
    <w:rsid w:val="00421CF5"/>
    <w:rsid w:val="00425AA1"/>
    <w:rsid w:val="00426088"/>
    <w:rsid w:val="004314EE"/>
    <w:rsid w:val="00433CB7"/>
    <w:rsid w:val="00437698"/>
    <w:rsid w:val="00440593"/>
    <w:rsid w:val="00443687"/>
    <w:rsid w:val="00444B12"/>
    <w:rsid w:val="004471DC"/>
    <w:rsid w:val="004510C9"/>
    <w:rsid w:val="004512B1"/>
    <w:rsid w:val="00456C51"/>
    <w:rsid w:val="00460964"/>
    <w:rsid w:val="00461508"/>
    <w:rsid w:val="00484E40"/>
    <w:rsid w:val="00485530"/>
    <w:rsid w:val="004B35AB"/>
    <w:rsid w:val="004B482B"/>
    <w:rsid w:val="004C70D4"/>
    <w:rsid w:val="004D5F24"/>
    <w:rsid w:val="004D6639"/>
    <w:rsid w:val="004E2D66"/>
    <w:rsid w:val="004E79C1"/>
    <w:rsid w:val="004F34EA"/>
    <w:rsid w:val="004F49B5"/>
    <w:rsid w:val="004F571A"/>
    <w:rsid w:val="004F64B7"/>
    <w:rsid w:val="00507BFF"/>
    <w:rsid w:val="00512ADF"/>
    <w:rsid w:val="00515287"/>
    <w:rsid w:val="005232D5"/>
    <w:rsid w:val="00524555"/>
    <w:rsid w:val="0052472D"/>
    <w:rsid w:val="005368B4"/>
    <w:rsid w:val="00537C7C"/>
    <w:rsid w:val="005474E1"/>
    <w:rsid w:val="00550F3C"/>
    <w:rsid w:val="00551404"/>
    <w:rsid w:val="00564CEE"/>
    <w:rsid w:val="0057219A"/>
    <w:rsid w:val="005725A1"/>
    <w:rsid w:val="00573B43"/>
    <w:rsid w:val="00577770"/>
    <w:rsid w:val="00580B89"/>
    <w:rsid w:val="00581CB6"/>
    <w:rsid w:val="00581F1F"/>
    <w:rsid w:val="0058257A"/>
    <w:rsid w:val="005860B6"/>
    <w:rsid w:val="0058797B"/>
    <w:rsid w:val="005945BE"/>
    <w:rsid w:val="005A05CF"/>
    <w:rsid w:val="005C055B"/>
    <w:rsid w:val="005C2A94"/>
    <w:rsid w:val="005C2F19"/>
    <w:rsid w:val="005C3EC3"/>
    <w:rsid w:val="005C5DD9"/>
    <w:rsid w:val="005D1B5C"/>
    <w:rsid w:val="005D223B"/>
    <w:rsid w:val="005D7A58"/>
    <w:rsid w:val="005E0706"/>
    <w:rsid w:val="005E2773"/>
    <w:rsid w:val="005F43D7"/>
    <w:rsid w:val="005F742B"/>
    <w:rsid w:val="00605423"/>
    <w:rsid w:val="006127D9"/>
    <w:rsid w:val="00615275"/>
    <w:rsid w:val="006207D6"/>
    <w:rsid w:val="006223DC"/>
    <w:rsid w:val="006247F2"/>
    <w:rsid w:val="00625238"/>
    <w:rsid w:val="00634447"/>
    <w:rsid w:val="006351BA"/>
    <w:rsid w:val="0063528E"/>
    <w:rsid w:val="00635384"/>
    <w:rsid w:val="00644ADC"/>
    <w:rsid w:val="00645DF5"/>
    <w:rsid w:val="00652BD5"/>
    <w:rsid w:val="0065382B"/>
    <w:rsid w:val="00657ED1"/>
    <w:rsid w:val="00663DE2"/>
    <w:rsid w:val="00663F32"/>
    <w:rsid w:val="0066525A"/>
    <w:rsid w:val="006654CE"/>
    <w:rsid w:val="006660C2"/>
    <w:rsid w:val="00672472"/>
    <w:rsid w:val="006756B7"/>
    <w:rsid w:val="00683CF3"/>
    <w:rsid w:val="00684321"/>
    <w:rsid w:val="00684CA8"/>
    <w:rsid w:val="00686D83"/>
    <w:rsid w:val="006875B4"/>
    <w:rsid w:val="00692435"/>
    <w:rsid w:val="006950DD"/>
    <w:rsid w:val="006A2194"/>
    <w:rsid w:val="006A34C5"/>
    <w:rsid w:val="006A7868"/>
    <w:rsid w:val="006B1078"/>
    <w:rsid w:val="006B194D"/>
    <w:rsid w:val="006C363D"/>
    <w:rsid w:val="006D0B1D"/>
    <w:rsid w:val="006F0071"/>
    <w:rsid w:val="006F4872"/>
    <w:rsid w:val="006F52AE"/>
    <w:rsid w:val="006F53AE"/>
    <w:rsid w:val="006F5879"/>
    <w:rsid w:val="006F62AD"/>
    <w:rsid w:val="006F748D"/>
    <w:rsid w:val="00706255"/>
    <w:rsid w:val="00713D6A"/>
    <w:rsid w:val="0071464C"/>
    <w:rsid w:val="00720094"/>
    <w:rsid w:val="00720384"/>
    <w:rsid w:val="007244DF"/>
    <w:rsid w:val="00731074"/>
    <w:rsid w:val="007344A1"/>
    <w:rsid w:val="00746652"/>
    <w:rsid w:val="00751F72"/>
    <w:rsid w:val="007535F0"/>
    <w:rsid w:val="00762910"/>
    <w:rsid w:val="00763149"/>
    <w:rsid w:val="007670A6"/>
    <w:rsid w:val="007706D0"/>
    <w:rsid w:val="007724C3"/>
    <w:rsid w:val="00772FF6"/>
    <w:rsid w:val="00777A6B"/>
    <w:rsid w:val="00780E6D"/>
    <w:rsid w:val="00786F94"/>
    <w:rsid w:val="007903AD"/>
    <w:rsid w:val="00790E98"/>
    <w:rsid w:val="00794C70"/>
    <w:rsid w:val="007A0C82"/>
    <w:rsid w:val="007A19EC"/>
    <w:rsid w:val="007B63A7"/>
    <w:rsid w:val="007B6C4C"/>
    <w:rsid w:val="007D5600"/>
    <w:rsid w:val="007E1EDE"/>
    <w:rsid w:val="007E3F3A"/>
    <w:rsid w:val="007F019F"/>
    <w:rsid w:val="007F21B5"/>
    <w:rsid w:val="00811316"/>
    <w:rsid w:val="008176AC"/>
    <w:rsid w:val="00823705"/>
    <w:rsid w:val="0083296A"/>
    <w:rsid w:val="008340D5"/>
    <w:rsid w:val="008401CD"/>
    <w:rsid w:val="00844567"/>
    <w:rsid w:val="00846287"/>
    <w:rsid w:val="0085186C"/>
    <w:rsid w:val="00852CBC"/>
    <w:rsid w:val="008567DF"/>
    <w:rsid w:val="00862EFB"/>
    <w:rsid w:val="0086389D"/>
    <w:rsid w:val="00882AE8"/>
    <w:rsid w:val="00885C4A"/>
    <w:rsid w:val="008A2FE0"/>
    <w:rsid w:val="008A7239"/>
    <w:rsid w:val="008E1ADF"/>
    <w:rsid w:val="008E38A2"/>
    <w:rsid w:val="008E4CAB"/>
    <w:rsid w:val="008E4CD9"/>
    <w:rsid w:val="008E7AE0"/>
    <w:rsid w:val="008F2558"/>
    <w:rsid w:val="009017F5"/>
    <w:rsid w:val="00902B7A"/>
    <w:rsid w:val="00903D94"/>
    <w:rsid w:val="009169C8"/>
    <w:rsid w:val="0093113B"/>
    <w:rsid w:val="009324D1"/>
    <w:rsid w:val="009338BA"/>
    <w:rsid w:val="0094119E"/>
    <w:rsid w:val="00950E1B"/>
    <w:rsid w:val="009515C2"/>
    <w:rsid w:val="00956C86"/>
    <w:rsid w:val="00966B08"/>
    <w:rsid w:val="00972462"/>
    <w:rsid w:val="00990866"/>
    <w:rsid w:val="009970CC"/>
    <w:rsid w:val="00997C9A"/>
    <w:rsid w:val="009A3D16"/>
    <w:rsid w:val="009B69B9"/>
    <w:rsid w:val="009C7870"/>
    <w:rsid w:val="009D13E0"/>
    <w:rsid w:val="009E222A"/>
    <w:rsid w:val="009E360D"/>
    <w:rsid w:val="009E489D"/>
    <w:rsid w:val="009E5803"/>
    <w:rsid w:val="009F0761"/>
    <w:rsid w:val="009F5F69"/>
    <w:rsid w:val="009F761A"/>
    <w:rsid w:val="009F78C4"/>
    <w:rsid w:val="00A00F18"/>
    <w:rsid w:val="00A014EC"/>
    <w:rsid w:val="00A05F1A"/>
    <w:rsid w:val="00A078C5"/>
    <w:rsid w:val="00A11C51"/>
    <w:rsid w:val="00A1259A"/>
    <w:rsid w:val="00A135C0"/>
    <w:rsid w:val="00A14399"/>
    <w:rsid w:val="00A217A1"/>
    <w:rsid w:val="00A271BC"/>
    <w:rsid w:val="00A31037"/>
    <w:rsid w:val="00A35059"/>
    <w:rsid w:val="00A41AE9"/>
    <w:rsid w:val="00A52DD9"/>
    <w:rsid w:val="00A564E8"/>
    <w:rsid w:val="00A734ED"/>
    <w:rsid w:val="00A742CF"/>
    <w:rsid w:val="00A75572"/>
    <w:rsid w:val="00A76D6C"/>
    <w:rsid w:val="00A77B29"/>
    <w:rsid w:val="00A928B4"/>
    <w:rsid w:val="00A937C8"/>
    <w:rsid w:val="00A9529E"/>
    <w:rsid w:val="00AA47AB"/>
    <w:rsid w:val="00AB3CA0"/>
    <w:rsid w:val="00AC1283"/>
    <w:rsid w:val="00AC263C"/>
    <w:rsid w:val="00AC78F7"/>
    <w:rsid w:val="00AD56CE"/>
    <w:rsid w:val="00AD5D59"/>
    <w:rsid w:val="00AE4310"/>
    <w:rsid w:val="00AF2E02"/>
    <w:rsid w:val="00B025CC"/>
    <w:rsid w:val="00B111BF"/>
    <w:rsid w:val="00B143D9"/>
    <w:rsid w:val="00B23A37"/>
    <w:rsid w:val="00B25CB7"/>
    <w:rsid w:val="00B3015E"/>
    <w:rsid w:val="00B31EC0"/>
    <w:rsid w:val="00B47AC5"/>
    <w:rsid w:val="00B55A10"/>
    <w:rsid w:val="00B55B5F"/>
    <w:rsid w:val="00B62679"/>
    <w:rsid w:val="00B673BA"/>
    <w:rsid w:val="00B67583"/>
    <w:rsid w:val="00B749C7"/>
    <w:rsid w:val="00B81131"/>
    <w:rsid w:val="00B836CC"/>
    <w:rsid w:val="00B86593"/>
    <w:rsid w:val="00B9492C"/>
    <w:rsid w:val="00B96CC5"/>
    <w:rsid w:val="00BA38D1"/>
    <w:rsid w:val="00BC492C"/>
    <w:rsid w:val="00BD277E"/>
    <w:rsid w:val="00BE4321"/>
    <w:rsid w:val="00BE767F"/>
    <w:rsid w:val="00BE781E"/>
    <w:rsid w:val="00BF1A28"/>
    <w:rsid w:val="00BF1DCE"/>
    <w:rsid w:val="00BF5F2B"/>
    <w:rsid w:val="00C0120D"/>
    <w:rsid w:val="00C0238D"/>
    <w:rsid w:val="00C02619"/>
    <w:rsid w:val="00C1442F"/>
    <w:rsid w:val="00C1689F"/>
    <w:rsid w:val="00C1788A"/>
    <w:rsid w:val="00C23061"/>
    <w:rsid w:val="00C27F44"/>
    <w:rsid w:val="00C324B5"/>
    <w:rsid w:val="00C32509"/>
    <w:rsid w:val="00C34525"/>
    <w:rsid w:val="00C408A2"/>
    <w:rsid w:val="00C41829"/>
    <w:rsid w:val="00C51161"/>
    <w:rsid w:val="00C532A0"/>
    <w:rsid w:val="00C62CBF"/>
    <w:rsid w:val="00C64458"/>
    <w:rsid w:val="00C66F3F"/>
    <w:rsid w:val="00C73D2D"/>
    <w:rsid w:val="00C745BC"/>
    <w:rsid w:val="00C74701"/>
    <w:rsid w:val="00C75B01"/>
    <w:rsid w:val="00C83FD5"/>
    <w:rsid w:val="00C90C92"/>
    <w:rsid w:val="00CA3807"/>
    <w:rsid w:val="00CB4CC2"/>
    <w:rsid w:val="00CC41C1"/>
    <w:rsid w:val="00CC60E6"/>
    <w:rsid w:val="00CC767C"/>
    <w:rsid w:val="00CD3692"/>
    <w:rsid w:val="00CD3998"/>
    <w:rsid w:val="00CE30CC"/>
    <w:rsid w:val="00CE7D21"/>
    <w:rsid w:val="00CF48FE"/>
    <w:rsid w:val="00CF6130"/>
    <w:rsid w:val="00CF69C7"/>
    <w:rsid w:val="00D0560E"/>
    <w:rsid w:val="00D20A2C"/>
    <w:rsid w:val="00D372CD"/>
    <w:rsid w:val="00D44DF4"/>
    <w:rsid w:val="00D463E6"/>
    <w:rsid w:val="00D50C38"/>
    <w:rsid w:val="00D568BD"/>
    <w:rsid w:val="00D57D1F"/>
    <w:rsid w:val="00D60FB5"/>
    <w:rsid w:val="00D6479D"/>
    <w:rsid w:val="00D67275"/>
    <w:rsid w:val="00D747BA"/>
    <w:rsid w:val="00D80841"/>
    <w:rsid w:val="00D81DF8"/>
    <w:rsid w:val="00D85EAC"/>
    <w:rsid w:val="00D865E3"/>
    <w:rsid w:val="00D87E8B"/>
    <w:rsid w:val="00D937D8"/>
    <w:rsid w:val="00D94B4B"/>
    <w:rsid w:val="00D966CC"/>
    <w:rsid w:val="00DB4DA6"/>
    <w:rsid w:val="00DB7B0A"/>
    <w:rsid w:val="00DC0004"/>
    <w:rsid w:val="00DC0EED"/>
    <w:rsid w:val="00DD5A6E"/>
    <w:rsid w:val="00DD5ABE"/>
    <w:rsid w:val="00DE56AE"/>
    <w:rsid w:val="00DE69B7"/>
    <w:rsid w:val="00DF1C53"/>
    <w:rsid w:val="00DF35C8"/>
    <w:rsid w:val="00DF752C"/>
    <w:rsid w:val="00E02341"/>
    <w:rsid w:val="00E12BC7"/>
    <w:rsid w:val="00E146C5"/>
    <w:rsid w:val="00E170D8"/>
    <w:rsid w:val="00E230CB"/>
    <w:rsid w:val="00E30C41"/>
    <w:rsid w:val="00E35225"/>
    <w:rsid w:val="00E41068"/>
    <w:rsid w:val="00E4496D"/>
    <w:rsid w:val="00E51446"/>
    <w:rsid w:val="00E51927"/>
    <w:rsid w:val="00E62059"/>
    <w:rsid w:val="00E701A9"/>
    <w:rsid w:val="00E705FB"/>
    <w:rsid w:val="00E7286D"/>
    <w:rsid w:val="00E8543E"/>
    <w:rsid w:val="00E858BE"/>
    <w:rsid w:val="00E95E80"/>
    <w:rsid w:val="00E9613B"/>
    <w:rsid w:val="00EB200C"/>
    <w:rsid w:val="00EB54F0"/>
    <w:rsid w:val="00EC76E8"/>
    <w:rsid w:val="00ED00BE"/>
    <w:rsid w:val="00ED57D2"/>
    <w:rsid w:val="00EE3FAD"/>
    <w:rsid w:val="00EE7368"/>
    <w:rsid w:val="00EE77DC"/>
    <w:rsid w:val="00EF520D"/>
    <w:rsid w:val="00EF59F9"/>
    <w:rsid w:val="00EF5BE7"/>
    <w:rsid w:val="00F0666C"/>
    <w:rsid w:val="00F231CE"/>
    <w:rsid w:val="00F23302"/>
    <w:rsid w:val="00F25C03"/>
    <w:rsid w:val="00F25FD1"/>
    <w:rsid w:val="00F31FFB"/>
    <w:rsid w:val="00F323FD"/>
    <w:rsid w:val="00F33610"/>
    <w:rsid w:val="00F33FB2"/>
    <w:rsid w:val="00F47457"/>
    <w:rsid w:val="00F51190"/>
    <w:rsid w:val="00F63BE9"/>
    <w:rsid w:val="00F6458E"/>
    <w:rsid w:val="00F80948"/>
    <w:rsid w:val="00F81378"/>
    <w:rsid w:val="00F823DA"/>
    <w:rsid w:val="00F90706"/>
    <w:rsid w:val="00F95F78"/>
    <w:rsid w:val="00FA1690"/>
    <w:rsid w:val="00FA4460"/>
    <w:rsid w:val="00FA63E8"/>
    <w:rsid w:val="00FB0ECF"/>
    <w:rsid w:val="00FB67BC"/>
    <w:rsid w:val="00FD03CD"/>
    <w:rsid w:val="00FE33A3"/>
    <w:rsid w:val="00FF1361"/>
    <w:rsid w:val="00FF6ADC"/>
    <w:rsid w:val="01C96C05"/>
    <w:rsid w:val="0668E134"/>
    <w:rsid w:val="0F9C2E44"/>
    <w:rsid w:val="0FB80D95"/>
    <w:rsid w:val="131A8803"/>
    <w:rsid w:val="15D6DA21"/>
    <w:rsid w:val="15DE0A7F"/>
    <w:rsid w:val="19F5C272"/>
    <w:rsid w:val="293776E1"/>
    <w:rsid w:val="2B18D18C"/>
    <w:rsid w:val="3117FC4E"/>
    <w:rsid w:val="3AAF3973"/>
    <w:rsid w:val="3BF0FA64"/>
    <w:rsid w:val="3DE9284C"/>
    <w:rsid w:val="3F4130AE"/>
    <w:rsid w:val="46BEF2FE"/>
    <w:rsid w:val="47C3FC02"/>
    <w:rsid w:val="4868AA8C"/>
    <w:rsid w:val="489B9421"/>
    <w:rsid w:val="492BDAF3"/>
    <w:rsid w:val="52FA0E6F"/>
    <w:rsid w:val="53698FD0"/>
    <w:rsid w:val="59809240"/>
    <w:rsid w:val="59D8D154"/>
    <w:rsid w:val="5F1156FF"/>
    <w:rsid w:val="66F01852"/>
    <w:rsid w:val="71E8CC2C"/>
    <w:rsid w:val="72044E72"/>
    <w:rsid w:val="75206CEE"/>
    <w:rsid w:val="7B797F8A"/>
    <w:rsid w:val="7C35B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2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uiPriority w:val="99"/>
    <w:semiHidden/>
    <w:unhideWhenUsed/>
    <w:rsid w:val="006207D6"/>
    <w:rPr>
      <w:sz w:val="16"/>
      <w:szCs w:val="16"/>
    </w:rPr>
  </w:style>
  <w:style w:type="paragraph" w:styleId="CommentText">
    <w:name w:val="annotation text"/>
    <w:basedOn w:val="Normal"/>
    <w:link w:val="CommentTextChar"/>
    <w:uiPriority w:val="99"/>
    <w:unhideWhenUsed/>
    <w:rsid w:val="006207D6"/>
    <w:pPr>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6207D6"/>
    <w:rPr>
      <w:rFonts w:ascii="Calibri" w:eastAsia="Calibri" w:hAnsi="Calibri"/>
    </w:rPr>
  </w:style>
  <w:style w:type="paragraph" w:customStyle="1" w:styleId="Normal0">
    <w:name w:val="[Normal]"/>
    <w:rsid w:val="00E51446"/>
    <w:pPr>
      <w:widowControl w:val="0"/>
      <w:autoSpaceDE w:val="0"/>
      <w:autoSpaceDN w:val="0"/>
      <w:adjustRightInd w:val="0"/>
    </w:pPr>
    <w:rPr>
      <w:rFonts w:ascii="Arial" w:hAnsi="Arial" w:cs="Arial"/>
      <w:sz w:val="24"/>
      <w:szCs w:val="24"/>
    </w:rPr>
  </w:style>
  <w:style w:type="paragraph" w:customStyle="1" w:styleId="Default">
    <w:name w:val="Default"/>
    <w:rsid w:val="00291763"/>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684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439287">
      <w:bodyDiv w:val="1"/>
      <w:marLeft w:val="0"/>
      <w:marRight w:val="0"/>
      <w:marTop w:val="0"/>
      <w:marBottom w:val="0"/>
      <w:divBdr>
        <w:top w:val="none" w:sz="0" w:space="0" w:color="auto"/>
        <w:left w:val="none" w:sz="0" w:space="0" w:color="auto"/>
        <w:bottom w:val="none" w:sz="0" w:space="0" w:color="auto"/>
        <w:right w:val="none" w:sz="0" w:space="0" w:color="auto"/>
      </w:divBdr>
    </w:div>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7A613781BA4428F58F76FF8E18B20" ma:contentTypeVersion="7" ma:contentTypeDescription="Create a new document." ma:contentTypeScope="" ma:versionID="41fd109b35dc6eba167d2ed26dd3ca62">
  <xsd:schema xmlns:xsd="http://www.w3.org/2001/XMLSchema" xmlns:xs="http://www.w3.org/2001/XMLSchema" xmlns:p="http://schemas.microsoft.com/office/2006/metadata/properties" xmlns:ns3="d5709c43-bb0d-4e7a-b0e4-ebfa3329c054" xmlns:ns4="0ffb37f9-1bcf-4e3e-b04f-292b64b553dd" targetNamespace="http://schemas.microsoft.com/office/2006/metadata/properties" ma:root="true" ma:fieldsID="6c595982f49eed04cadd07228d007be0" ns3:_="" ns4:_="">
    <xsd:import namespace="d5709c43-bb0d-4e7a-b0e4-ebfa3329c054"/>
    <xsd:import namespace="0ffb37f9-1bcf-4e3e-b04f-292b64b553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9c43-bb0d-4e7a-b0e4-ebfa3329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3FB08-4FE3-4A1A-96A2-770E13006AA8}">
  <ds:schemaRefs>
    <ds:schemaRef ds:uri="http://schemas.microsoft.com/sharepoint/v3/contenttype/forms"/>
  </ds:schemaRefs>
</ds:datastoreItem>
</file>

<file path=customXml/itemProps2.xml><?xml version="1.0" encoding="utf-8"?>
<ds:datastoreItem xmlns:ds="http://schemas.openxmlformats.org/officeDocument/2006/customXml" ds:itemID="{665822DE-3A25-4EC7-88E2-1C4161B14C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C89D9B-DD64-447D-852E-3FA152F0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9c43-bb0d-4e7a-b0e4-ebfa3329c054"/>
    <ds:schemaRef ds:uri="0ffb37f9-1bcf-4e3e-b04f-292b64b5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6D87C1-C714-4070-87AE-BC22CD02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2022-05-01T20:33:00Z</dcterms:created>
  <dcterms:modified xsi:type="dcterms:W3CDTF">2022-05-01T20:52:00Z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0x010100FDC7A613781BA4428F58F76FF8E18B20</vt:lpwstr>
  </property>
</Properties>
</file>