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50A5" w14:textId="0446882B" w:rsidR="00BC0FE4" w:rsidRDefault="00BC0FE4" w:rsidP="00126B34">
      <w:pPr>
        <w:rPr>
          <w:rFonts w:eastAsia="Times New Roman"/>
          <w:snapToGrid/>
          <w:sz w:val="28"/>
          <w:szCs w:val="28"/>
          <w:vertAlign w:val="baseline"/>
        </w:rPr>
      </w:pPr>
      <w:r>
        <w:rPr>
          <w:rFonts w:eastAsia="Times New Roman"/>
          <w:snapToGrid/>
          <w:sz w:val="28"/>
          <w:szCs w:val="28"/>
          <w:vertAlign w:val="baseline"/>
        </w:rPr>
        <w:t xml:space="preserve">Central Arizona National Lawyers Guild </w:t>
      </w:r>
    </w:p>
    <w:p w14:paraId="2540AF7F" w14:textId="37F91618" w:rsidR="00466C82" w:rsidRDefault="001F4818" w:rsidP="00126B34">
      <w:pPr>
        <w:rPr>
          <w:rFonts w:eastAsia="Times New Roman"/>
          <w:snapToGrid/>
          <w:sz w:val="28"/>
          <w:szCs w:val="28"/>
          <w:vertAlign w:val="baseline"/>
        </w:rPr>
      </w:pPr>
      <w:r>
        <w:rPr>
          <w:rFonts w:eastAsia="Times New Roman"/>
          <w:snapToGrid/>
          <w:sz w:val="28"/>
          <w:szCs w:val="28"/>
          <w:vertAlign w:val="baseline"/>
        </w:rPr>
        <w:t>K</w:t>
      </w:r>
      <w:r w:rsidR="00985D0A">
        <w:rPr>
          <w:rFonts w:eastAsia="Times New Roman"/>
          <w:snapToGrid/>
          <w:sz w:val="28"/>
          <w:szCs w:val="28"/>
          <w:vertAlign w:val="baseline"/>
        </w:rPr>
        <w:t xml:space="preserve">EVIN D. Heade </w:t>
      </w:r>
    </w:p>
    <w:p w14:paraId="69D17A25" w14:textId="2E29053B" w:rsidR="00985D0A" w:rsidRDefault="00985D0A" w:rsidP="00126B34">
      <w:pPr>
        <w:rPr>
          <w:rFonts w:eastAsia="Times New Roman"/>
          <w:snapToGrid/>
          <w:sz w:val="28"/>
          <w:szCs w:val="28"/>
          <w:vertAlign w:val="baseline"/>
        </w:rPr>
      </w:pPr>
      <w:r>
        <w:rPr>
          <w:rFonts w:eastAsia="Times New Roman"/>
          <w:snapToGrid/>
          <w:sz w:val="28"/>
          <w:szCs w:val="28"/>
          <w:vertAlign w:val="baseline"/>
        </w:rPr>
        <w:t>Arizona State Bar No. 029909</w:t>
      </w:r>
    </w:p>
    <w:p w14:paraId="44BD8594" w14:textId="7D7BDCE9" w:rsidR="003324C6" w:rsidRDefault="005A69E8" w:rsidP="00126B34">
      <w:pPr>
        <w:rPr>
          <w:rFonts w:eastAsia="Times New Roman"/>
          <w:snapToGrid/>
          <w:sz w:val="28"/>
          <w:szCs w:val="28"/>
          <w:vertAlign w:val="baseline"/>
        </w:rPr>
      </w:pPr>
      <w:r>
        <w:rPr>
          <w:rFonts w:eastAsia="Times New Roman"/>
          <w:snapToGrid/>
          <w:sz w:val="28"/>
          <w:szCs w:val="28"/>
          <w:vertAlign w:val="baseline"/>
        </w:rPr>
        <w:t>3905 N 7</w:t>
      </w:r>
      <w:r w:rsidRPr="005A69E8">
        <w:rPr>
          <w:rFonts w:eastAsia="Times New Roman"/>
          <w:snapToGrid/>
          <w:sz w:val="28"/>
          <w:szCs w:val="28"/>
        </w:rPr>
        <w:t>th</w:t>
      </w:r>
      <w:r>
        <w:rPr>
          <w:rFonts w:eastAsia="Times New Roman"/>
          <w:snapToGrid/>
          <w:sz w:val="28"/>
          <w:szCs w:val="28"/>
          <w:vertAlign w:val="baseline"/>
        </w:rPr>
        <w:t xml:space="preserve"> Ave</w:t>
      </w:r>
    </w:p>
    <w:p w14:paraId="13D6DE91" w14:textId="50656C3B" w:rsidR="005A69E8" w:rsidRDefault="005A69E8" w:rsidP="00126B34">
      <w:pPr>
        <w:rPr>
          <w:rFonts w:eastAsia="Times New Roman"/>
          <w:snapToGrid/>
          <w:sz w:val="28"/>
          <w:szCs w:val="28"/>
          <w:vertAlign w:val="baseline"/>
        </w:rPr>
      </w:pPr>
      <w:r>
        <w:rPr>
          <w:rFonts w:eastAsia="Times New Roman"/>
          <w:snapToGrid/>
          <w:sz w:val="28"/>
          <w:szCs w:val="28"/>
          <w:vertAlign w:val="baseline"/>
        </w:rPr>
        <w:t>Unit 33126</w:t>
      </w:r>
    </w:p>
    <w:p w14:paraId="5DF5FFA1" w14:textId="09A09458" w:rsidR="005A69E8" w:rsidRDefault="005A69E8" w:rsidP="00126B34">
      <w:pPr>
        <w:rPr>
          <w:rFonts w:eastAsia="Times New Roman"/>
          <w:snapToGrid/>
          <w:sz w:val="28"/>
          <w:szCs w:val="28"/>
          <w:vertAlign w:val="baseline"/>
        </w:rPr>
      </w:pPr>
      <w:r>
        <w:rPr>
          <w:rFonts w:eastAsia="Times New Roman"/>
          <w:snapToGrid/>
          <w:sz w:val="28"/>
          <w:szCs w:val="28"/>
          <w:vertAlign w:val="baseline"/>
        </w:rPr>
        <w:t>Phoenix, AZ 85067</w:t>
      </w:r>
    </w:p>
    <w:p w14:paraId="4876074B" w14:textId="6610B058" w:rsidR="00985D0A" w:rsidRDefault="00985D0A" w:rsidP="00126B34">
      <w:pPr>
        <w:rPr>
          <w:rFonts w:eastAsia="Times New Roman"/>
          <w:snapToGrid/>
          <w:sz w:val="28"/>
          <w:szCs w:val="28"/>
          <w:vertAlign w:val="baseline"/>
        </w:rPr>
      </w:pPr>
      <w:r>
        <w:rPr>
          <w:rFonts w:eastAsia="Times New Roman"/>
          <w:snapToGrid/>
          <w:sz w:val="28"/>
          <w:szCs w:val="28"/>
          <w:vertAlign w:val="baseline"/>
        </w:rPr>
        <w:t>Kevin.Heade@Gmail.Com</w:t>
      </w:r>
    </w:p>
    <w:p w14:paraId="4C5C4F46" w14:textId="4CB09619" w:rsidR="00793F08" w:rsidRDefault="00446320" w:rsidP="00126B34">
      <w:pPr>
        <w:rPr>
          <w:rFonts w:eastAsia="Times New Roman"/>
          <w:snapToGrid/>
          <w:sz w:val="28"/>
          <w:szCs w:val="28"/>
          <w:vertAlign w:val="baseline"/>
        </w:rPr>
      </w:pPr>
      <w:r>
        <w:rPr>
          <w:rFonts w:eastAsia="Times New Roman"/>
          <w:snapToGrid/>
          <w:sz w:val="28"/>
          <w:szCs w:val="28"/>
          <w:vertAlign w:val="baseline"/>
        </w:rPr>
        <w:t>(4</w:t>
      </w:r>
      <w:r w:rsidR="00BC0FE4">
        <w:rPr>
          <w:rFonts w:eastAsia="Times New Roman"/>
          <w:snapToGrid/>
          <w:sz w:val="28"/>
          <w:szCs w:val="28"/>
          <w:vertAlign w:val="baseline"/>
        </w:rPr>
        <w:t xml:space="preserve">80) </w:t>
      </w:r>
      <w:r w:rsidR="00985D0A">
        <w:rPr>
          <w:rFonts w:eastAsia="Times New Roman"/>
          <w:snapToGrid/>
          <w:sz w:val="28"/>
          <w:szCs w:val="28"/>
          <w:vertAlign w:val="baseline"/>
        </w:rPr>
        <w:t>251-8534</w:t>
      </w:r>
    </w:p>
    <w:p w14:paraId="04B8DEEE" w14:textId="77777777" w:rsidR="00126B34" w:rsidRPr="00126B34" w:rsidRDefault="00126B34" w:rsidP="00126B34">
      <w:pPr>
        <w:keepNext/>
        <w:jc w:val="center"/>
        <w:outlineLvl w:val="2"/>
        <w:rPr>
          <w:rFonts w:eastAsia="Times New Roman"/>
          <w:b/>
          <w:bCs/>
          <w:snapToGrid/>
          <w:sz w:val="28"/>
          <w:szCs w:val="28"/>
          <w:vertAlign w:val="baseline"/>
        </w:rPr>
      </w:pPr>
    </w:p>
    <w:p w14:paraId="434CF567" w14:textId="77777777" w:rsidR="00126B34" w:rsidRPr="00126B34" w:rsidRDefault="00126B34" w:rsidP="00126B34">
      <w:pPr>
        <w:keepNext/>
        <w:jc w:val="center"/>
        <w:outlineLvl w:val="2"/>
        <w:rPr>
          <w:rFonts w:eastAsia="Times New Roman"/>
          <w:b/>
          <w:bCs/>
          <w:snapToGrid/>
          <w:sz w:val="28"/>
          <w:szCs w:val="28"/>
          <w:vertAlign w:val="baseline"/>
        </w:rPr>
      </w:pPr>
    </w:p>
    <w:p w14:paraId="7A6F38F2" w14:textId="77777777" w:rsidR="00126B34" w:rsidRPr="00126B34" w:rsidRDefault="00126B34" w:rsidP="00126B34">
      <w:pPr>
        <w:keepNext/>
        <w:jc w:val="center"/>
        <w:outlineLvl w:val="2"/>
        <w:rPr>
          <w:rFonts w:eastAsia="Times New Roman"/>
          <w:b/>
          <w:bCs/>
          <w:snapToGrid/>
          <w:sz w:val="28"/>
          <w:szCs w:val="28"/>
          <w:vertAlign w:val="baseline"/>
        </w:rPr>
      </w:pPr>
      <w:r w:rsidRPr="00126B34">
        <w:rPr>
          <w:rFonts w:eastAsia="Times New Roman"/>
          <w:b/>
          <w:bCs/>
          <w:snapToGrid/>
          <w:sz w:val="28"/>
          <w:szCs w:val="28"/>
          <w:vertAlign w:val="baseline"/>
        </w:rPr>
        <w:t>IN THE ARIZONA SUPREME COURT</w:t>
      </w:r>
    </w:p>
    <w:p w14:paraId="17E89587" w14:textId="77777777" w:rsidR="00126B34" w:rsidRPr="00126B34" w:rsidRDefault="00126B34" w:rsidP="00126B34">
      <w:pPr>
        <w:jc w:val="center"/>
        <w:rPr>
          <w:rFonts w:eastAsia="Times New Roman"/>
          <w:b/>
          <w:snapToGrid/>
          <w:sz w:val="28"/>
          <w:szCs w:val="28"/>
          <w:vertAlign w:val="baseline"/>
        </w:rPr>
      </w:pPr>
    </w:p>
    <w:tbl>
      <w:tblPr>
        <w:tblW w:w="9326" w:type="dxa"/>
        <w:tblLayout w:type="fixed"/>
        <w:tblCellMar>
          <w:left w:w="0" w:type="dxa"/>
          <w:right w:w="0" w:type="dxa"/>
        </w:tblCellMar>
        <w:tblLook w:val="0000" w:firstRow="0" w:lastRow="0" w:firstColumn="0" w:lastColumn="0" w:noHBand="0" w:noVBand="0"/>
      </w:tblPr>
      <w:tblGrid>
        <w:gridCol w:w="4767"/>
        <w:gridCol w:w="25"/>
        <w:gridCol w:w="4534"/>
      </w:tblGrid>
      <w:tr w:rsidR="00126B34" w:rsidRPr="00126B34" w14:paraId="1CE29504" w14:textId="77777777" w:rsidTr="006B236E">
        <w:trPr>
          <w:trHeight w:val="2655"/>
        </w:trPr>
        <w:tc>
          <w:tcPr>
            <w:tcW w:w="4770" w:type="dxa"/>
            <w:tcBorders>
              <w:bottom w:val="single" w:sz="4" w:space="0" w:color="auto"/>
            </w:tcBorders>
          </w:tcPr>
          <w:p w14:paraId="50BD0806" w14:textId="77777777" w:rsidR="00126B34" w:rsidRPr="00321F37" w:rsidRDefault="00126B34" w:rsidP="00126B34">
            <w:pPr>
              <w:spacing w:after="120"/>
              <w:ind w:right="87"/>
              <w:rPr>
                <w:rFonts w:eastAsia="Times New Roman"/>
                <w:b/>
                <w:bCs/>
                <w:snapToGrid/>
                <w:sz w:val="28"/>
                <w:szCs w:val="28"/>
                <w:vertAlign w:val="baseline"/>
              </w:rPr>
            </w:pPr>
            <w:bookmarkStart w:id="0" w:name="Parties"/>
            <w:bookmarkEnd w:id="0"/>
            <w:r w:rsidRPr="00321F37">
              <w:rPr>
                <w:rFonts w:eastAsia="Times New Roman"/>
                <w:b/>
                <w:bCs/>
                <w:snapToGrid/>
                <w:sz w:val="28"/>
                <w:szCs w:val="28"/>
                <w:vertAlign w:val="baseline"/>
              </w:rPr>
              <w:t>IN THE MATTER OF:</w:t>
            </w:r>
          </w:p>
          <w:p w14:paraId="7EE9BFEB" w14:textId="53C23BD6" w:rsidR="00126B34" w:rsidRPr="00126B34" w:rsidRDefault="00126B34" w:rsidP="00126B34">
            <w:pPr>
              <w:spacing w:after="120"/>
              <w:ind w:right="87"/>
              <w:rPr>
                <w:rFonts w:eastAsia="Times New Roman"/>
                <w:snapToGrid/>
                <w:sz w:val="28"/>
                <w:szCs w:val="28"/>
                <w:vertAlign w:val="baseline"/>
              </w:rPr>
            </w:pPr>
            <w:r w:rsidRPr="00321F37">
              <w:rPr>
                <w:rFonts w:eastAsia="Times New Roman"/>
                <w:b/>
                <w:bCs/>
                <w:snapToGrid/>
                <w:sz w:val="28"/>
                <w:szCs w:val="28"/>
                <w:vertAlign w:val="baseline"/>
              </w:rPr>
              <w:t>PETITION TO AMEND</w:t>
            </w:r>
            <w:r w:rsidR="005A69E8" w:rsidRPr="00321F37">
              <w:rPr>
                <w:rFonts w:eastAsia="Times New Roman"/>
                <w:b/>
                <w:bCs/>
                <w:snapToGrid/>
                <w:sz w:val="28"/>
                <w:szCs w:val="28"/>
                <w:vertAlign w:val="baseline"/>
              </w:rPr>
              <w:t xml:space="preserve"> </w:t>
            </w:r>
            <w:r w:rsidRPr="00321F37">
              <w:rPr>
                <w:rFonts w:eastAsia="Times New Roman"/>
                <w:b/>
                <w:bCs/>
                <w:snapToGrid/>
                <w:sz w:val="28"/>
                <w:szCs w:val="28"/>
                <w:vertAlign w:val="baseline"/>
              </w:rPr>
              <w:t xml:space="preserve">RULE </w:t>
            </w:r>
            <w:r w:rsidR="005A69E8" w:rsidRPr="00321F37">
              <w:rPr>
                <w:rFonts w:eastAsia="Times New Roman"/>
                <w:b/>
                <w:bCs/>
                <w:snapToGrid/>
                <w:sz w:val="28"/>
                <w:szCs w:val="28"/>
                <w:vertAlign w:val="baseline"/>
              </w:rPr>
              <w:t>15.8</w:t>
            </w:r>
            <w:r w:rsidR="00321F37">
              <w:rPr>
                <w:rFonts w:eastAsia="Times New Roman"/>
                <w:b/>
                <w:bCs/>
                <w:snapToGrid/>
                <w:sz w:val="28"/>
                <w:szCs w:val="28"/>
                <w:vertAlign w:val="baseline"/>
              </w:rPr>
              <w:t xml:space="preserve">(a) </w:t>
            </w:r>
            <w:r w:rsidR="000F108F" w:rsidRPr="00321F37">
              <w:rPr>
                <w:rFonts w:eastAsia="Times New Roman"/>
                <w:b/>
                <w:bCs/>
                <w:snapToGrid/>
                <w:sz w:val="28"/>
                <w:szCs w:val="28"/>
                <w:vertAlign w:val="baseline"/>
              </w:rPr>
              <w:t xml:space="preserve"> OF THE ARIZONA RULES OF CRIMINAL PROCEDURE</w:t>
            </w:r>
          </w:p>
        </w:tc>
        <w:tc>
          <w:tcPr>
            <w:tcW w:w="20" w:type="dxa"/>
            <w:tcBorders>
              <w:right w:val="single" w:sz="4" w:space="0" w:color="auto"/>
            </w:tcBorders>
          </w:tcPr>
          <w:p w14:paraId="6874903B" w14:textId="77777777" w:rsidR="00126B34" w:rsidRPr="00126B34" w:rsidRDefault="00126B34" w:rsidP="00126B34">
            <w:pPr>
              <w:spacing w:line="254" w:lineRule="exact"/>
              <w:ind w:right="-40"/>
              <w:rPr>
                <w:rFonts w:eastAsia="Times New Roman"/>
                <w:snapToGrid/>
                <w:sz w:val="28"/>
                <w:szCs w:val="28"/>
                <w:vertAlign w:val="baseline"/>
              </w:rPr>
            </w:pPr>
            <w:r w:rsidRPr="00126B34">
              <w:rPr>
                <w:rFonts w:eastAsia="Times New Roman"/>
                <w:snapToGrid/>
                <w:sz w:val="28"/>
                <w:szCs w:val="28"/>
                <w:vertAlign w:val="baseline"/>
              </w:rPr>
              <w:t xml:space="preserve">  </w:t>
            </w:r>
          </w:p>
        </w:tc>
        <w:tc>
          <w:tcPr>
            <w:tcW w:w="4536" w:type="dxa"/>
            <w:tcBorders>
              <w:left w:val="single" w:sz="4" w:space="0" w:color="auto"/>
            </w:tcBorders>
          </w:tcPr>
          <w:p w14:paraId="303B3C41" w14:textId="7B92F86F" w:rsidR="00126B34" w:rsidRPr="00321F37" w:rsidRDefault="005A69E8" w:rsidP="00126B34">
            <w:pPr>
              <w:spacing w:line="254" w:lineRule="exact"/>
              <w:ind w:right="-40"/>
              <w:rPr>
                <w:rFonts w:eastAsia="Times New Roman"/>
                <w:b/>
                <w:bCs/>
                <w:snapToGrid/>
                <w:sz w:val="28"/>
                <w:szCs w:val="28"/>
                <w:vertAlign w:val="baseline"/>
              </w:rPr>
            </w:pPr>
            <w:bookmarkStart w:id="1" w:name="CaseNumber"/>
            <w:bookmarkEnd w:id="1"/>
            <w:r>
              <w:rPr>
                <w:rFonts w:eastAsia="Times New Roman"/>
                <w:snapToGrid/>
                <w:sz w:val="28"/>
                <w:szCs w:val="28"/>
                <w:vertAlign w:val="baseline"/>
              </w:rPr>
              <w:t xml:space="preserve">    </w:t>
            </w:r>
            <w:r w:rsidR="00CB69B0" w:rsidRPr="00321F37">
              <w:rPr>
                <w:rFonts w:eastAsia="Times New Roman"/>
                <w:b/>
                <w:bCs/>
                <w:snapToGrid/>
                <w:sz w:val="28"/>
                <w:szCs w:val="28"/>
                <w:vertAlign w:val="baseline"/>
              </w:rPr>
              <w:t>S</w:t>
            </w:r>
            <w:r w:rsidR="00321F37" w:rsidRPr="00321F37">
              <w:rPr>
                <w:rFonts w:eastAsia="Times New Roman"/>
                <w:b/>
                <w:bCs/>
                <w:snapToGrid/>
                <w:sz w:val="28"/>
                <w:szCs w:val="28"/>
                <w:vertAlign w:val="baseline"/>
              </w:rPr>
              <w:t>upreme  Court No.</w:t>
            </w:r>
            <w:r w:rsidR="00CB69B0" w:rsidRPr="00321F37">
              <w:rPr>
                <w:rFonts w:eastAsia="Times New Roman"/>
                <w:b/>
                <w:bCs/>
                <w:snapToGrid/>
                <w:sz w:val="28"/>
                <w:szCs w:val="28"/>
                <w:vertAlign w:val="baseline"/>
              </w:rPr>
              <w:t xml:space="preserve"> </w:t>
            </w:r>
            <w:r w:rsidR="0040729A" w:rsidRPr="00321F37">
              <w:rPr>
                <w:rFonts w:eastAsia="Times New Roman"/>
                <w:b/>
                <w:bCs/>
                <w:snapToGrid/>
                <w:sz w:val="28"/>
                <w:szCs w:val="28"/>
                <w:vertAlign w:val="baseline"/>
              </w:rPr>
              <w:t>R-2</w:t>
            </w:r>
            <w:r w:rsidRPr="00321F37">
              <w:rPr>
                <w:rFonts w:eastAsia="Times New Roman"/>
                <w:b/>
                <w:bCs/>
                <w:snapToGrid/>
                <w:sz w:val="28"/>
                <w:szCs w:val="28"/>
                <w:vertAlign w:val="baseline"/>
              </w:rPr>
              <w:t>2-0021</w:t>
            </w:r>
          </w:p>
          <w:p w14:paraId="6B834661" w14:textId="77777777" w:rsidR="00126B34" w:rsidRPr="00321F37" w:rsidRDefault="00126B34" w:rsidP="00126B34">
            <w:pPr>
              <w:spacing w:line="254" w:lineRule="exact"/>
              <w:ind w:right="-40"/>
              <w:rPr>
                <w:rFonts w:eastAsia="Times New Roman"/>
                <w:b/>
                <w:bCs/>
                <w:snapToGrid/>
                <w:sz w:val="28"/>
                <w:szCs w:val="28"/>
                <w:vertAlign w:val="baseline"/>
              </w:rPr>
            </w:pPr>
          </w:p>
          <w:p w14:paraId="7E68FDEE" w14:textId="6663CE92" w:rsidR="00126B34" w:rsidRPr="00126B34" w:rsidRDefault="00CC6B86" w:rsidP="00CC6B86">
            <w:pPr>
              <w:ind w:left="248" w:right="-40"/>
              <w:rPr>
                <w:rFonts w:eastAsia="Times New Roman"/>
                <w:b/>
                <w:bCs/>
                <w:snapToGrid/>
                <w:sz w:val="28"/>
                <w:szCs w:val="28"/>
                <w:vertAlign w:val="baseline"/>
              </w:rPr>
            </w:pPr>
            <w:r w:rsidRPr="00321F37">
              <w:rPr>
                <w:rFonts w:eastAsia="Times New Roman"/>
                <w:b/>
                <w:bCs/>
                <w:snapToGrid/>
                <w:sz w:val="28"/>
                <w:szCs w:val="28"/>
                <w:vertAlign w:val="baseline"/>
              </w:rPr>
              <w:t>C</w:t>
            </w:r>
            <w:r w:rsidR="00321F37" w:rsidRPr="00321F37">
              <w:rPr>
                <w:rFonts w:eastAsia="Times New Roman"/>
                <w:b/>
                <w:bCs/>
                <w:snapToGrid/>
                <w:sz w:val="28"/>
                <w:szCs w:val="28"/>
                <w:vertAlign w:val="baseline"/>
              </w:rPr>
              <w:t xml:space="preserve">omment of the Central Arizona National Lawyers Guild </w:t>
            </w:r>
            <w:r w:rsidR="005A69E8" w:rsidRPr="00321F37">
              <w:rPr>
                <w:rFonts w:eastAsia="Times New Roman"/>
                <w:b/>
                <w:bCs/>
                <w:snapToGrid/>
                <w:sz w:val="28"/>
                <w:szCs w:val="28"/>
                <w:vertAlign w:val="baseline"/>
              </w:rPr>
              <w:t xml:space="preserve"> </w:t>
            </w:r>
          </w:p>
        </w:tc>
      </w:tr>
    </w:tbl>
    <w:p w14:paraId="3B7B702D" w14:textId="77777777" w:rsidR="00126B34" w:rsidRPr="00126B34" w:rsidRDefault="00126B34" w:rsidP="00126B34">
      <w:pPr>
        <w:spacing w:line="480" w:lineRule="auto"/>
        <w:ind w:right="58"/>
        <w:jc w:val="both"/>
        <w:rPr>
          <w:rFonts w:eastAsia="Times New Roman"/>
          <w:snapToGrid/>
          <w:sz w:val="28"/>
          <w:szCs w:val="28"/>
          <w:vertAlign w:val="baseline"/>
          <w:lang w:eastAsia="x-none"/>
        </w:rPr>
      </w:pPr>
    </w:p>
    <w:p w14:paraId="0B23D353" w14:textId="7F0EC865" w:rsidR="00335113" w:rsidRDefault="00126B34" w:rsidP="00126B34">
      <w:pPr>
        <w:spacing w:line="480" w:lineRule="auto"/>
        <w:ind w:firstLine="720"/>
        <w:jc w:val="both"/>
        <w:rPr>
          <w:rFonts w:eastAsia="Times New Roman"/>
          <w:snapToGrid/>
          <w:sz w:val="28"/>
          <w:szCs w:val="28"/>
          <w:vertAlign w:val="baseline"/>
          <w:lang w:eastAsia="x-none"/>
        </w:rPr>
      </w:pPr>
      <w:r w:rsidRPr="00126B34">
        <w:rPr>
          <w:rFonts w:eastAsia="Times New Roman"/>
          <w:snapToGrid/>
          <w:sz w:val="28"/>
          <w:szCs w:val="28"/>
          <w:vertAlign w:val="baseline"/>
          <w:lang w:eastAsia="x-none"/>
        </w:rPr>
        <w:t>Pursuant to Rule 28</w:t>
      </w:r>
      <w:r w:rsidR="0076037F">
        <w:rPr>
          <w:rFonts w:eastAsia="Times New Roman"/>
          <w:snapToGrid/>
          <w:sz w:val="28"/>
          <w:szCs w:val="28"/>
          <w:vertAlign w:val="baseline"/>
          <w:lang w:eastAsia="x-none"/>
        </w:rPr>
        <w:t xml:space="preserve">(e) </w:t>
      </w:r>
      <w:r w:rsidRPr="00126B34">
        <w:rPr>
          <w:rFonts w:eastAsia="Times New Roman"/>
          <w:snapToGrid/>
          <w:sz w:val="28"/>
          <w:szCs w:val="28"/>
          <w:vertAlign w:val="baseline"/>
          <w:lang w:eastAsia="x-none"/>
        </w:rPr>
        <w:t>of the Rules of the Supreme Court</w:t>
      </w:r>
      <w:r w:rsidR="00C40F63">
        <w:rPr>
          <w:rFonts w:eastAsia="Times New Roman"/>
          <w:snapToGrid/>
          <w:sz w:val="28"/>
          <w:szCs w:val="28"/>
          <w:vertAlign w:val="baseline"/>
          <w:lang w:eastAsia="x-none"/>
        </w:rPr>
        <w:t xml:space="preserve"> of Arizona</w:t>
      </w:r>
      <w:r w:rsidRPr="00126B34">
        <w:rPr>
          <w:rFonts w:eastAsia="Times New Roman"/>
          <w:snapToGrid/>
          <w:sz w:val="28"/>
          <w:szCs w:val="28"/>
          <w:vertAlign w:val="baseline"/>
          <w:lang w:eastAsia="x-none"/>
        </w:rPr>
        <w:t xml:space="preserve">, </w:t>
      </w:r>
      <w:r w:rsidR="000D213B">
        <w:rPr>
          <w:rFonts w:eastAsia="Times New Roman"/>
          <w:snapToGrid/>
          <w:sz w:val="28"/>
          <w:szCs w:val="28"/>
          <w:vertAlign w:val="baseline"/>
          <w:lang w:eastAsia="x-none"/>
        </w:rPr>
        <w:t xml:space="preserve">the </w:t>
      </w:r>
      <w:r w:rsidR="0016027E">
        <w:rPr>
          <w:rFonts w:eastAsia="Times New Roman"/>
          <w:snapToGrid/>
          <w:sz w:val="28"/>
          <w:szCs w:val="28"/>
          <w:vertAlign w:val="baseline"/>
          <w:lang w:eastAsia="x-none"/>
        </w:rPr>
        <w:t>Central Arizona National Lawyers Guild (Central AZ NLG</w:t>
      </w:r>
      <w:r w:rsidRPr="00126B34">
        <w:rPr>
          <w:rFonts w:eastAsia="Times New Roman"/>
          <w:snapToGrid/>
          <w:sz w:val="28"/>
          <w:szCs w:val="28"/>
          <w:vertAlign w:val="baseline"/>
          <w:lang w:eastAsia="x-none"/>
        </w:rPr>
        <w:t xml:space="preserve">) respectfully submits this </w:t>
      </w:r>
      <w:r w:rsidR="0076037F">
        <w:rPr>
          <w:rFonts w:eastAsia="Times New Roman"/>
          <w:snapToGrid/>
          <w:sz w:val="28"/>
          <w:szCs w:val="28"/>
          <w:vertAlign w:val="baseline"/>
          <w:lang w:eastAsia="x-none"/>
        </w:rPr>
        <w:t xml:space="preserve">comment </w:t>
      </w:r>
      <w:r w:rsidR="005A69E8">
        <w:rPr>
          <w:rFonts w:eastAsia="Times New Roman"/>
          <w:snapToGrid/>
          <w:sz w:val="28"/>
          <w:szCs w:val="28"/>
          <w:vertAlign w:val="baseline"/>
          <w:lang w:eastAsia="x-none"/>
        </w:rPr>
        <w:t>concerning a proposed amendment to Rule 15.8</w:t>
      </w:r>
      <w:r w:rsidR="00321F37">
        <w:rPr>
          <w:rFonts w:eastAsia="Times New Roman"/>
          <w:snapToGrid/>
          <w:sz w:val="28"/>
          <w:szCs w:val="28"/>
          <w:vertAlign w:val="baseline"/>
          <w:lang w:eastAsia="x-none"/>
        </w:rPr>
        <w:t>(a)</w:t>
      </w:r>
      <w:r w:rsidR="005A69E8">
        <w:rPr>
          <w:rFonts w:eastAsia="Times New Roman"/>
          <w:snapToGrid/>
          <w:sz w:val="28"/>
          <w:szCs w:val="28"/>
          <w:vertAlign w:val="baseline"/>
          <w:lang w:eastAsia="x-none"/>
        </w:rPr>
        <w:t xml:space="preserve"> of the Arizona Rules of Criminal Procedure.  This Court should consider the proposed amendment as an invitation to scrutinize whether early disposition courts operating outside the scope of Rule of Criminal Procedure  should be permitted to exist.  </w:t>
      </w:r>
      <w:r w:rsidR="00321F37">
        <w:rPr>
          <w:rFonts w:eastAsia="Times New Roman"/>
          <w:snapToGrid/>
          <w:sz w:val="28"/>
          <w:szCs w:val="28"/>
          <w:vertAlign w:val="baseline"/>
          <w:lang w:eastAsia="x-none"/>
        </w:rPr>
        <w:t xml:space="preserve">If the Court endorses the constitutionally questionable courts, this Court should adopt rules authorizing their use, including the proposed amendment to Rule 15.8(a). </w:t>
      </w:r>
    </w:p>
    <w:p w14:paraId="69A0DC0B" w14:textId="5B2671D4" w:rsidR="005A69E8" w:rsidRDefault="005A69E8" w:rsidP="00126B34">
      <w:pPr>
        <w:spacing w:line="480" w:lineRule="auto"/>
        <w:ind w:firstLine="720"/>
        <w:jc w:val="both"/>
        <w:rPr>
          <w:rFonts w:eastAsia="Times New Roman"/>
          <w:snapToGrid/>
          <w:sz w:val="28"/>
          <w:szCs w:val="28"/>
          <w:vertAlign w:val="baseline"/>
          <w:lang w:eastAsia="x-none"/>
        </w:rPr>
      </w:pPr>
    </w:p>
    <w:p w14:paraId="6CE9B811" w14:textId="5D474D26" w:rsidR="005A69E8" w:rsidRDefault="005A69E8" w:rsidP="00126B34">
      <w:pPr>
        <w:spacing w:line="480" w:lineRule="auto"/>
        <w:ind w:firstLine="720"/>
        <w:jc w:val="both"/>
        <w:rPr>
          <w:rFonts w:eastAsia="Times New Roman"/>
          <w:snapToGrid/>
          <w:sz w:val="28"/>
          <w:szCs w:val="28"/>
          <w:vertAlign w:val="baseline"/>
          <w:lang w:eastAsia="x-none"/>
        </w:rPr>
      </w:pPr>
    </w:p>
    <w:p w14:paraId="13679714" w14:textId="77777777" w:rsidR="005A69E8" w:rsidRPr="00126B34" w:rsidRDefault="005A69E8" w:rsidP="00126B34">
      <w:pPr>
        <w:spacing w:line="480" w:lineRule="auto"/>
        <w:ind w:firstLine="720"/>
        <w:jc w:val="both"/>
        <w:rPr>
          <w:rFonts w:eastAsia="Times New Roman"/>
          <w:snapToGrid/>
          <w:sz w:val="28"/>
          <w:szCs w:val="28"/>
          <w:vertAlign w:val="baseline"/>
          <w:lang w:eastAsia="x-none"/>
        </w:rPr>
      </w:pPr>
    </w:p>
    <w:p w14:paraId="62FE154B" w14:textId="39ECB8D1" w:rsidR="00321F37" w:rsidRPr="00321F37" w:rsidRDefault="00126B34" w:rsidP="00572E2B">
      <w:pPr>
        <w:numPr>
          <w:ilvl w:val="0"/>
          <w:numId w:val="1"/>
        </w:numPr>
        <w:spacing w:line="480" w:lineRule="auto"/>
        <w:ind w:firstLine="720"/>
        <w:jc w:val="both"/>
        <w:rPr>
          <w:sz w:val="28"/>
          <w:szCs w:val="28"/>
          <w:vertAlign w:val="baseline"/>
        </w:rPr>
      </w:pPr>
      <w:r w:rsidRPr="00321F37">
        <w:rPr>
          <w:rFonts w:eastAsia="Times New Roman"/>
          <w:b/>
          <w:snapToGrid/>
          <w:sz w:val="28"/>
          <w:szCs w:val="28"/>
          <w:vertAlign w:val="baseline"/>
          <w:lang w:eastAsia="x-none"/>
        </w:rPr>
        <w:t>I</w:t>
      </w:r>
      <w:r w:rsidR="00321F37" w:rsidRPr="00321F37">
        <w:rPr>
          <w:rFonts w:eastAsia="Times New Roman"/>
          <w:b/>
          <w:snapToGrid/>
          <w:sz w:val="28"/>
          <w:szCs w:val="28"/>
          <w:vertAlign w:val="baseline"/>
          <w:lang w:eastAsia="x-none"/>
        </w:rPr>
        <w:t xml:space="preserve">nterests of the Central </w:t>
      </w:r>
      <w:r w:rsidR="00321F37">
        <w:rPr>
          <w:rFonts w:eastAsia="Times New Roman"/>
          <w:b/>
          <w:snapToGrid/>
          <w:sz w:val="28"/>
          <w:szCs w:val="28"/>
          <w:vertAlign w:val="baseline"/>
          <w:lang w:eastAsia="x-none"/>
        </w:rPr>
        <w:t>AZ NLG</w:t>
      </w:r>
    </w:p>
    <w:p w14:paraId="7546A91E" w14:textId="62E414C8" w:rsidR="0016027E" w:rsidRPr="00321F37" w:rsidRDefault="0016027E" w:rsidP="00321F37">
      <w:pPr>
        <w:spacing w:line="480" w:lineRule="auto"/>
        <w:ind w:firstLine="720"/>
        <w:jc w:val="both"/>
        <w:rPr>
          <w:sz w:val="28"/>
          <w:szCs w:val="28"/>
          <w:vertAlign w:val="baseline"/>
        </w:rPr>
      </w:pPr>
      <w:r w:rsidRPr="00321F37">
        <w:rPr>
          <w:rFonts w:eastAsia="Times New Roman"/>
          <w:snapToGrid/>
          <w:sz w:val="28"/>
          <w:szCs w:val="28"/>
          <w:vertAlign w:val="baseline"/>
          <w:lang w:eastAsia="x-none"/>
        </w:rPr>
        <w:t>The Central Arizona National Lawyers Guild</w:t>
      </w:r>
      <w:r w:rsidR="00321F37" w:rsidRPr="00321F37">
        <w:rPr>
          <w:rFonts w:eastAsia="Times New Roman"/>
          <w:snapToGrid/>
          <w:sz w:val="28"/>
          <w:szCs w:val="28"/>
          <w:vertAlign w:val="baseline"/>
          <w:lang w:eastAsia="x-none"/>
        </w:rPr>
        <w:t xml:space="preserve">  (Central AZ NLG) </w:t>
      </w:r>
      <w:r w:rsidRPr="00321F37">
        <w:rPr>
          <w:rFonts w:eastAsia="Times New Roman"/>
          <w:snapToGrid/>
          <w:sz w:val="28"/>
          <w:szCs w:val="28"/>
          <w:vertAlign w:val="baseline"/>
          <w:lang w:eastAsia="x-none"/>
        </w:rPr>
        <w:t xml:space="preserve"> is a local chapter of the National Lawyers Guild located in the greater Phoenix metropolitan area. </w:t>
      </w:r>
      <w:r w:rsidR="00321F37" w:rsidRPr="00321F37">
        <w:rPr>
          <w:rFonts w:eastAsia="Times New Roman"/>
          <w:snapToGrid/>
          <w:sz w:val="28"/>
          <w:szCs w:val="28"/>
          <w:vertAlign w:val="baseline"/>
          <w:lang w:eastAsia="x-none"/>
        </w:rPr>
        <w:t xml:space="preserve"> </w:t>
      </w:r>
      <w:r w:rsidRPr="00321F37">
        <w:rPr>
          <w:sz w:val="28"/>
          <w:szCs w:val="28"/>
          <w:vertAlign w:val="baseline"/>
        </w:rPr>
        <w:t>The National Lawyers Guild is the nation’s oldest and largest progressive bar association and was the first one in the US to be racially integrated. </w:t>
      </w:r>
      <w:r w:rsidRPr="00321F37">
        <w:rPr>
          <w:rStyle w:val="Strong"/>
          <w:b w:val="0"/>
          <w:sz w:val="28"/>
          <w:szCs w:val="28"/>
          <w:vertAlign w:val="baseline"/>
        </w:rPr>
        <w:t>Our mission is to use law for the people, uniting lawyers, law students, legal workers, and jailhouse lawyers to function as an effective force in the service of the people by valuing human rights and the rights of ecosystems over property interests</w:t>
      </w:r>
      <w:r w:rsidRPr="00321F37">
        <w:rPr>
          <w:b/>
          <w:sz w:val="28"/>
          <w:szCs w:val="28"/>
          <w:vertAlign w:val="baseline"/>
        </w:rPr>
        <w:t>.</w:t>
      </w:r>
      <w:r w:rsidRPr="00321F37">
        <w:rPr>
          <w:sz w:val="28"/>
          <w:szCs w:val="28"/>
          <w:vertAlign w:val="baseline"/>
        </w:rPr>
        <w:t xml:space="preserve"> </w:t>
      </w:r>
    </w:p>
    <w:p w14:paraId="602A07E4" w14:textId="54C5211D" w:rsidR="00AF123A" w:rsidRDefault="005A69E8" w:rsidP="00BE0C24">
      <w:pPr>
        <w:spacing w:line="480" w:lineRule="auto"/>
        <w:ind w:firstLine="720"/>
        <w:jc w:val="both"/>
        <w:rPr>
          <w:rFonts w:eastAsia="Times New Roman"/>
          <w:snapToGrid/>
          <w:sz w:val="28"/>
          <w:szCs w:val="28"/>
          <w:vertAlign w:val="baseline"/>
        </w:rPr>
      </w:pPr>
      <w:r>
        <w:rPr>
          <w:sz w:val="28"/>
          <w:szCs w:val="28"/>
          <w:vertAlign w:val="baseline"/>
        </w:rPr>
        <w:t xml:space="preserve">The </w:t>
      </w:r>
      <w:r w:rsidR="00BE0C24">
        <w:rPr>
          <w:sz w:val="28"/>
          <w:szCs w:val="28"/>
          <w:vertAlign w:val="baseline"/>
        </w:rPr>
        <w:t xml:space="preserve"> Central AZ NLG submits this comment because </w:t>
      </w:r>
      <w:r w:rsidR="009B5287">
        <w:rPr>
          <w:sz w:val="28"/>
          <w:szCs w:val="28"/>
          <w:vertAlign w:val="baseline"/>
        </w:rPr>
        <w:t xml:space="preserve">the </w:t>
      </w:r>
      <w:r>
        <w:rPr>
          <w:sz w:val="28"/>
          <w:szCs w:val="28"/>
          <w:vertAlign w:val="baseline"/>
        </w:rPr>
        <w:t xml:space="preserve">right to </w:t>
      </w:r>
      <w:r w:rsidR="00BE0C24">
        <w:rPr>
          <w:sz w:val="28"/>
          <w:szCs w:val="28"/>
          <w:vertAlign w:val="baseline"/>
        </w:rPr>
        <w:t xml:space="preserve">the effective assistance of counsel in criminal proceedings is a core constitutional right. Early disposition courts eviscerate this right. </w:t>
      </w:r>
      <w:r w:rsidR="00126B34" w:rsidRPr="0016027E">
        <w:rPr>
          <w:rFonts w:eastAsia="Times New Roman"/>
          <w:snapToGrid/>
          <w:sz w:val="28"/>
          <w:szCs w:val="28"/>
          <w:vertAlign w:val="baseline"/>
        </w:rPr>
        <w:t xml:space="preserve">The </w:t>
      </w:r>
      <w:r w:rsidR="000F108F">
        <w:rPr>
          <w:rFonts w:eastAsia="Times New Roman"/>
          <w:snapToGrid/>
          <w:sz w:val="28"/>
          <w:szCs w:val="28"/>
          <w:vertAlign w:val="baseline"/>
        </w:rPr>
        <w:t xml:space="preserve">proposal to </w:t>
      </w:r>
      <w:r>
        <w:rPr>
          <w:rFonts w:eastAsia="Times New Roman"/>
          <w:snapToGrid/>
          <w:sz w:val="28"/>
          <w:szCs w:val="28"/>
          <w:vertAlign w:val="baseline"/>
        </w:rPr>
        <w:t xml:space="preserve"> amend Rule 15.8 is a valiant attempt to ameliorate the infirmities of early disposition courts. Even with the proposed reform, early disposition courts will still fail to live up to the constitutional safeguards required by the Sixth Amendment of the United States Constitution and Article 2, Section 24 of the Arizona Constitution. This Court should take independent action to ensure that the accused are not fo</w:t>
      </w:r>
      <w:r w:rsidR="000952EA">
        <w:rPr>
          <w:rFonts w:eastAsia="Times New Roman"/>
          <w:snapToGrid/>
          <w:sz w:val="28"/>
          <w:szCs w:val="28"/>
          <w:vertAlign w:val="baseline"/>
        </w:rPr>
        <w:t xml:space="preserve">rced to make serious decisions concerning their liberty without </w:t>
      </w:r>
      <w:r>
        <w:rPr>
          <w:rFonts w:eastAsia="Times New Roman"/>
          <w:snapToGrid/>
          <w:sz w:val="28"/>
          <w:szCs w:val="28"/>
          <w:vertAlign w:val="baseline"/>
        </w:rPr>
        <w:t xml:space="preserve">the constitutional protections that the existing Rules of Criminal Procedure are designed to protect. </w:t>
      </w:r>
    </w:p>
    <w:p w14:paraId="7E3D2095" w14:textId="77777777" w:rsidR="00BE0C24" w:rsidRPr="00BE0C24" w:rsidRDefault="00BE0C24" w:rsidP="00BE0C24">
      <w:pPr>
        <w:spacing w:line="480" w:lineRule="auto"/>
        <w:ind w:firstLine="720"/>
        <w:jc w:val="both"/>
        <w:rPr>
          <w:sz w:val="28"/>
          <w:szCs w:val="28"/>
          <w:vertAlign w:val="baseline"/>
        </w:rPr>
      </w:pPr>
    </w:p>
    <w:p w14:paraId="2F279F0E" w14:textId="2C033105" w:rsidR="00D257DB" w:rsidRPr="00093698" w:rsidRDefault="00BE0C24" w:rsidP="0058172C">
      <w:pPr>
        <w:pStyle w:val="ListParagraph"/>
        <w:numPr>
          <w:ilvl w:val="0"/>
          <w:numId w:val="1"/>
        </w:numPr>
        <w:spacing w:line="276" w:lineRule="auto"/>
        <w:jc w:val="both"/>
        <w:rPr>
          <w:rFonts w:eastAsia="Times New Roman"/>
          <w:snapToGrid/>
          <w:sz w:val="28"/>
          <w:szCs w:val="28"/>
          <w:vertAlign w:val="baseline"/>
        </w:rPr>
      </w:pPr>
      <w:r w:rsidRPr="00093698">
        <w:rPr>
          <w:rFonts w:eastAsia="Times New Roman"/>
          <w:b/>
          <w:bCs/>
          <w:snapToGrid/>
          <w:sz w:val="28"/>
          <w:szCs w:val="28"/>
          <w:vertAlign w:val="baseline"/>
        </w:rPr>
        <w:t>E</w:t>
      </w:r>
      <w:r w:rsidR="00321F37" w:rsidRPr="00093698">
        <w:rPr>
          <w:rFonts w:eastAsia="Times New Roman"/>
          <w:b/>
          <w:bCs/>
          <w:snapToGrid/>
          <w:sz w:val="28"/>
          <w:szCs w:val="28"/>
          <w:vertAlign w:val="baseline"/>
        </w:rPr>
        <w:t>arly Disposition Courts Undermine Constitutional Rights and Elude the Procedural Safeguards Established by the Arizona Rule of Criminal Procedure</w:t>
      </w:r>
      <w:r w:rsidR="00093698">
        <w:rPr>
          <w:rFonts w:eastAsia="Times New Roman"/>
          <w:b/>
          <w:bCs/>
          <w:snapToGrid/>
          <w:sz w:val="28"/>
          <w:szCs w:val="28"/>
          <w:vertAlign w:val="baseline"/>
        </w:rPr>
        <w:t>.</w:t>
      </w:r>
    </w:p>
    <w:p w14:paraId="117C58A6" w14:textId="77777777" w:rsidR="00093698" w:rsidRPr="00093698" w:rsidRDefault="00093698" w:rsidP="00093698">
      <w:pPr>
        <w:pStyle w:val="ListParagraph"/>
        <w:spacing w:line="276" w:lineRule="auto"/>
        <w:ind w:left="1440"/>
        <w:jc w:val="both"/>
        <w:rPr>
          <w:rFonts w:eastAsia="Times New Roman"/>
          <w:snapToGrid/>
          <w:sz w:val="28"/>
          <w:szCs w:val="28"/>
          <w:vertAlign w:val="baseline"/>
        </w:rPr>
      </w:pPr>
    </w:p>
    <w:p w14:paraId="60554C18" w14:textId="1B6F2AF1" w:rsidR="00B033F1" w:rsidRDefault="00B033F1" w:rsidP="0026030E">
      <w:pPr>
        <w:spacing w:line="480" w:lineRule="auto"/>
        <w:ind w:firstLine="720"/>
        <w:jc w:val="both"/>
        <w:rPr>
          <w:rFonts w:eastAsia="Times New Roman"/>
          <w:snapToGrid/>
          <w:sz w:val="28"/>
          <w:szCs w:val="28"/>
          <w:vertAlign w:val="baseline"/>
        </w:rPr>
      </w:pPr>
      <w:r>
        <w:rPr>
          <w:rFonts w:eastAsia="Times New Roman"/>
          <w:snapToGrid/>
          <w:sz w:val="28"/>
          <w:szCs w:val="28"/>
          <w:vertAlign w:val="baseline"/>
        </w:rPr>
        <w:t>The Central Arizona National Lawyers Guild urges this Court to scrutinize the operation of early disposition courts operating in some Arizona counties</w:t>
      </w:r>
      <w:r w:rsidR="00B67AE9">
        <w:rPr>
          <w:rFonts w:eastAsia="Times New Roman"/>
          <w:snapToGrid/>
          <w:sz w:val="28"/>
          <w:szCs w:val="28"/>
          <w:vertAlign w:val="baseline"/>
        </w:rPr>
        <w:t xml:space="preserve"> and find that the operation of such courts is inconsistent with the Arizona Rules of Criminal Procedure.  This Court should require every criminal case in Arizona state courts to comply with the existing Rules of Criminal Procedure in order to ensure that the constitutional rights of the accused are protected. </w:t>
      </w:r>
    </w:p>
    <w:p w14:paraId="12CF2A7B" w14:textId="123EF3F4" w:rsidR="00B67AE9" w:rsidRDefault="00B67AE9" w:rsidP="00B67AE9">
      <w:pPr>
        <w:pStyle w:val="ListParagraph"/>
        <w:numPr>
          <w:ilvl w:val="0"/>
          <w:numId w:val="7"/>
        </w:numPr>
        <w:jc w:val="both"/>
        <w:rPr>
          <w:rFonts w:eastAsia="Times New Roman"/>
          <w:b/>
          <w:bCs/>
          <w:snapToGrid/>
          <w:sz w:val="28"/>
          <w:szCs w:val="28"/>
          <w:vertAlign w:val="baseline"/>
        </w:rPr>
      </w:pPr>
      <w:r w:rsidRPr="00B67AE9">
        <w:rPr>
          <w:rFonts w:eastAsia="Times New Roman"/>
          <w:b/>
          <w:bCs/>
          <w:snapToGrid/>
          <w:sz w:val="28"/>
          <w:szCs w:val="28"/>
          <w:vertAlign w:val="baseline"/>
        </w:rPr>
        <w:t xml:space="preserve">Early Disposition Courts Conflict with the Arizona Rules of Criminal Procedure. </w:t>
      </w:r>
    </w:p>
    <w:p w14:paraId="14219742" w14:textId="77777777" w:rsidR="00B67AE9" w:rsidRPr="00B67AE9" w:rsidRDefault="00B67AE9" w:rsidP="00B67AE9">
      <w:pPr>
        <w:ind w:left="720"/>
        <w:jc w:val="both"/>
        <w:rPr>
          <w:rFonts w:eastAsia="Times New Roman"/>
          <w:b/>
          <w:bCs/>
          <w:snapToGrid/>
          <w:sz w:val="28"/>
          <w:szCs w:val="28"/>
          <w:vertAlign w:val="baseline"/>
        </w:rPr>
      </w:pPr>
    </w:p>
    <w:p w14:paraId="410D753C" w14:textId="05CDA87E" w:rsidR="00BE0C24" w:rsidRDefault="003142E4" w:rsidP="0026030E">
      <w:pPr>
        <w:spacing w:line="480" w:lineRule="auto"/>
        <w:ind w:firstLine="720"/>
        <w:jc w:val="both"/>
        <w:rPr>
          <w:rFonts w:eastAsia="Times New Roman"/>
          <w:snapToGrid/>
          <w:sz w:val="28"/>
          <w:szCs w:val="28"/>
          <w:vertAlign w:val="baseline"/>
        </w:rPr>
      </w:pPr>
      <w:r>
        <w:rPr>
          <w:rFonts w:eastAsia="Times New Roman"/>
          <w:snapToGrid/>
          <w:sz w:val="28"/>
          <w:szCs w:val="28"/>
          <w:vertAlign w:val="baseline"/>
        </w:rPr>
        <w:t>This Court, pursuant to its constitutional rule-making authority under Article 6, Section 5 of the Arizona Constitution, has promulgated the Arizona Rules of Criminal Procedure with the purpose of applying to “all criminal proceedings in</w:t>
      </w:r>
      <w:r w:rsidR="009B58FD">
        <w:rPr>
          <w:rFonts w:eastAsia="Times New Roman"/>
          <w:snapToGrid/>
          <w:sz w:val="28"/>
          <w:szCs w:val="28"/>
          <w:vertAlign w:val="baseline"/>
        </w:rPr>
        <w:t xml:space="preserve"> </w:t>
      </w:r>
      <w:r>
        <w:rPr>
          <w:rFonts w:eastAsia="Times New Roman"/>
          <w:snapToGrid/>
          <w:sz w:val="28"/>
          <w:szCs w:val="28"/>
          <w:vertAlign w:val="baseline"/>
        </w:rPr>
        <w:t>Arizona.” Ariz. R. Crim. P. 1.1. Among the purposes of the Rules of Criminal Procedure is “to protect the fundamental rights of the individual while preserving the public welfare.” Ariz. R.</w:t>
      </w:r>
      <w:r w:rsidR="009B58FD">
        <w:rPr>
          <w:rFonts w:eastAsia="Times New Roman"/>
          <w:snapToGrid/>
          <w:sz w:val="28"/>
          <w:szCs w:val="28"/>
          <w:vertAlign w:val="baseline"/>
        </w:rPr>
        <w:t xml:space="preserve"> </w:t>
      </w:r>
      <w:r>
        <w:rPr>
          <w:rFonts w:eastAsia="Times New Roman"/>
          <w:snapToGrid/>
          <w:sz w:val="28"/>
          <w:szCs w:val="28"/>
          <w:vertAlign w:val="baseline"/>
        </w:rPr>
        <w:t xml:space="preserve">Crim. P. 1.2. </w:t>
      </w:r>
    </w:p>
    <w:p w14:paraId="35FAAE4E" w14:textId="5B147924" w:rsidR="00B033F1" w:rsidRDefault="003142E4" w:rsidP="00B033F1">
      <w:pPr>
        <w:spacing w:line="480" w:lineRule="auto"/>
        <w:ind w:firstLine="720"/>
        <w:jc w:val="both"/>
        <w:rPr>
          <w:rFonts w:eastAsia="Times New Roman"/>
          <w:snapToGrid/>
          <w:color w:val="000000"/>
          <w:sz w:val="28"/>
          <w:szCs w:val="28"/>
          <w:vertAlign w:val="baseline"/>
        </w:rPr>
      </w:pPr>
      <w:r w:rsidRPr="00B033F1">
        <w:rPr>
          <w:rFonts w:eastAsia="Times New Roman"/>
          <w:snapToGrid/>
          <w:sz w:val="28"/>
          <w:szCs w:val="28"/>
          <w:vertAlign w:val="baseline"/>
        </w:rPr>
        <w:t xml:space="preserve">Superior Courts are prohibited from </w:t>
      </w:r>
      <w:r w:rsidR="00B033F1" w:rsidRPr="00B033F1">
        <w:rPr>
          <w:rFonts w:eastAsia="Times New Roman"/>
          <w:snapToGrid/>
          <w:sz w:val="28"/>
          <w:szCs w:val="28"/>
          <w:vertAlign w:val="baseline"/>
        </w:rPr>
        <w:t>issuing local rules which are “</w:t>
      </w:r>
      <w:r w:rsidR="00B67AE9" w:rsidRPr="00B033F1">
        <w:rPr>
          <w:rFonts w:eastAsia="Times New Roman"/>
          <w:snapToGrid/>
          <w:sz w:val="28"/>
          <w:szCs w:val="28"/>
          <w:vertAlign w:val="baseline"/>
        </w:rPr>
        <w:t>inconsistent</w:t>
      </w:r>
      <w:r w:rsidR="00B033F1" w:rsidRPr="00B033F1">
        <w:rPr>
          <w:rFonts w:eastAsia="Times New Roman"/>
          <w:snapToGrid/>
          <w:sz w:val="28"/>
          <w:szCs w:val="28"/>
          <w:vertAlign w:val="baseline"/>
        </w:rPr>
        <w:t xml:space="preserve"> with the Supreme Court’s rules.” </w:t>
      </w:r>
      <w:r w:rsidR="00B033F1" w:rsidRPr="009C2701">
        <w:rPr>
          <w:rFonts w:eastAsia="Times New Roman"/>
          <w:i/>
          <w:iCs/>
          <w:snapToGrid/>
          <w:sz w:val="28"/>
          <w:szCs w:val="28"/>
          <w:vertAlign w:val="baseline"/>
        </w:rPr>
        <w:t>See</w:t>
      </w:r>
      <w:r w:rsidR="00B033F1" w:rsidRPr="00B033F1">
        <w:rPr>
          <w:rFonts w:eastAsia="Times New Roman"/>
          <w:snapToGrid/>
          <w:sz w:val="28"/>
          <w:szCs w:val="28"/>
          <w:vertAlign w:val="baseline"/>
        </w:rPr>
        <w:t xml:space="preserve"> </w:t>
      </w:r>
      <w:r w:rsidR="00B033F1" w:rsidRPr="00B033F1">
        <w:rPr>
          <w:rFonts w:eastAsia="Times New Roman"/>
          <w:i/>
          <w:iCs/>
          <w:snapToGrid/>
          <w:color w:val="000000"/>
          <w:sz w:val="28"/>
          <w:szCs w:val="28"/>
          <w:bdr w:val="none" w:sz="0" w:space="0" w:color="auto" w:frame="1"/>
          <w:vertAlign w:val="baseline"/>
        </w:rPr>
        <w:t>Bergeron ex rel. Perez v. O'Neil</w:t>
      </w:r>
      <w:r w:rsidR="00B033F1" w:rsidRPr="00B033F1">
        <w:rPr>
          <w:rFonts w:eastAsia="Times New Roman"/>
          <w:snapToGrid/>
          <w:color w:val="000000"/>
          <w:sz w:val="28"/>
          <w:szCs w:val="28"/>
          <w:vertAlign w:val="baseline"/>
        </w:rPr>
        <w:t xml:space="preserve">, 205 Ariz. 640, 649–50, ¶ 27 (App. 2003) (holding that inherent authority of Superior </w:t>
      </w:r>
      <w:r w:rsidR="00B033F1" w:rsidRPr="00B033F1">
        <w:rPr>
          <w:rFonts w:eastAsia="Times New Roman"/>
          <w:snapToGrid/>
          <w:color w:val="000000"/>
          <w:sz w:val="28"/>
          <w:szCs w:val="28"/>
          <w:vertAlign w:val="baseline"/>
        </w:rPr>
        <w:lastRenderedPageBreak/>
        <w:t xml:space="preserve">Court did not authorize judge to require a party to explain reasoning in striking a judge under Ariz. Crim. P. 10.2). </w:t>
      </w:r>
    </w:p>
    <w:p w14:paraId="40EF5FEE" w14:textId="6A39454D" w:rsidR="00B67AE9" w:rsidRDefault="00B67AE9" w:rsidP="00B033F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 xml:space="preserve">As the Petitioner notes, although early disposition courts operate daily in four Arizona counties, “there is no local rule authorizing the practice.” Petition at 4. </w:t>
      </w:r>
    </w:p>
    <w:p w14:paraId="4D04EBE8" w14:textId="69424B10" w:rsidR="00B67AE9" w:rsidRDefault="00B67AE9" w:rsidP="00110BE9">
      <w:pPr>
        <w:spacing w:line="480" w:lineRule="auto"/>
        <w:jc w:val="both"/>
        <w:rPr>
          <w:rFonts w:eastAsia="Times New Roman"/>
          <w:snapToGrid/>
          <w:color w:val="000000"/>
          <w:sz w:val="28"/>
          <w:szCs w:val="28"/>
          <w:vertAlign w:val="baseline"/>
        </w:rPr>
      </w:pPr>
      <w:r w:rsidRPr="00B67AE9">
        <w:rPr>
          <w:rFonts w:eastAsia="Times New Roman"/>
          <w:snapToGrid/>
          <w:color w:val="000000"/>
          <w:sz w:val="28"/>
          <w:szCs w:val="28"/>
          <w:vertAlign w:val="baseline"/>
        </w:rPr>
        <w:t>Had one of the counties operating early disposition courts issued local rules to govern the practice, this Court would have</w:t>
      </w:r>
      <w:r w:rsidR="00114F14">
        <w:rPr>
          <w:rFonts w:eastAsia="Times New Roman"/>
          <w:snapToGrid/>
          <w:color w:val="000000"/>
          <w:sz w:val="28"/>
          <w:szCs w:val="28"/>
          <w:vertAlign w:val="baseline"/>
        </w:rPr>
        <w:t xml:space="preserve"> been required</w:t>
      </w:r>
      <w:r w:rsidRPr="00B67AE9">
        <w:rPr>
          <w:rFonts w:eastAsia="Times New Roman"/>
          <w:snapToGrid/>
          <w:color w:val="000000"/>
          <w:sz w:val="28"/>
          <w:szCs w:val="28"/>
          <w:vertAlign w:val="baseline"/>
        </w:rPr>
        <w:t xml:space="preserve"> to approve the local rule. </w:t>
      </w:r>
      <w:r w:rsidRPr="00B67AE9">
        <w:rPr>
          <w:rFonts w:eastAsia="Times New Roman"/>
          <w:i/>
          <w:iCs/>
          <w:snapToGrid/>
          <w:color w:val="000000"/>
          <w:sz w:val="28"/>
          <w:szCs w:val="28"/>
          <w:bdr w:val="none" w:sz="0" w:space="0" w:color="auto" w:frame="1"/>
          <w:vertAlign w:val="baseline"/>
        </w:rPr>
        <w:t>Bergeron</w:t>
      </w:r>
      <w:r w:rsidRPr="00B67AE9">
        <w:rPr>
          <w:rFonts w:eastAsia="Times New Roman"/>
          <w:snapToGrid/>
          <w:color w:val="000000"/>
          <w:sz w:val="28"/>
          <w:szCs w:val="28"/>
          <w:vertAlign w:val="baseline"/>
        </w:rPr>
        <w:t xml:space="preserve"> 205 Ariz. at 649–50, ¶ 27. </w:t>
      </w:r>
    </w:p>
    <w:p w14:paraId="1A0B5A99" w14:textId="4A15EAFF" w:rsidR="00110BE9" w:rsidRDefault="00110BE9"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It is likely that if a county would submit proposed local rules authorizing early disposition courts to operate in Arizona, this Court would reject the</w:t>
      </w:r>
      <w:r w:rsidR="008A220C">
        <w:rPr>
          <w:rFonts w:eastAsia="Times New Roman"/>
          <w:snapToGrid/>
          <w:color w:val="000000"/>
          <w:sz w:val="28"/>
          <w:szCs w:val="28"/>
          <w:vertAlign w:val="baseline"/>
        </w:rPr>
        <w:t xml:space="preserve">m </w:t>
      </w:r>
      <w:r>
        <w:rPr>
          <w:rFonts w:eastAsia="Times New Roman"/>
          <w:snapToGrid/>
          <w:color w:val="000000"/>
          <w:sz w:val="28"/>
          <w:szCs w:val="28"/>
          <w:vertAlign w:val="baseline"/>
        </w:rPr>
        <w:t xml:space="preserve">because such practices are inconsistent with the Arizona Rules of Criminal Procedure. </w:t>
      </w:r>
    </w:p>
    <w:p w14:paraId="57507E3F" w14:textId="45E512ED" w:rsidR="00110BE9" w:rsidRDefault="00110BE9"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 xml:space="preserve">In the few counties operating early disposition courts, the accused has no say in whether they are subjected to such proceedings. Rather, the decision to treat some individuals differently by subjecting them to early disposition courts is vested with the prosecuting agency.  As the Petition notes, the proceedings are truncated and the options of the accused generally include the option to accept a plea offer on the truncated timeline or invoke the normal and established Rules of Criminal Procedure under a threat of harsher consequences. Petition at 6. </w:t>
      </w:r>
    </w:p>
    <w:p w14:paraId="2D87F7D0" w14:textId="77F38A24" w:rsidR="00110BE9" w:rsidRDefault="00110BE9"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This truncated process occurs at a status conference invented by the counties operating early disposition courts</w:t>
      </w:r>
      <w:r w:rsidR="00275714">
        <w:rPr>
          <w:rFonts w:eastAsia="Times New Roman"/>
          <w:snapToGrid/>
          <w:color w:val="000000"/>
          <w:sz w:val="28"/>
          <w:szCs w:val="28"/>
          <w:vertAlign w:val="baseline"/>
        </w:rPr>
        <w:t xml:space="preserve">. These status conferences </w:t>
      </w:r>
      <w:r>
        <w:rPr>
          <w:rFonts w:eastAsia="Times New Roman"/>
          <w:snapToGrid/>
          <w:color w:val="000000"/>
          <w:sz w:val="28"/>
          <w:szCs w:val="28"/>
          <w:vertAlign w:val="baseline"/>
        </w:rPr>
        <w:t xml:space="preserve">appear nowhere in the Rules of Criminal Procedure. As written, this Court’s rules envision the accused </w:t>
      </w:r>
      <w:r>
        <w:rPr>
          <w:rFonts w:eastAsia="Times New Roman"/>
          <w:snapToGrid/>
          <w:color w:val="000000"/>
          <w:sz w:val="28"/>
          <w:szCs w:val="28"/>
          <w:vertAlign w:val="baseline"/>
        </w:rPr>
        <w:lastRenderedPageBreak/>
        <w:t>appearing at an initial  appearance within 24 hours of arrest. Ariz. Crim. P. 4.1(a).  The next hearing authorized by this Court is a preliminary hearing, which must occur within  10 days of the initial appearance if the accused is in custody or within 20 days if the accused is not in custody. Ariz. R.</w:t>
      </w:r>
      <w:r w:rsidR="00275714">
        <w:rPr>
          <w:rFonts w:eastAsia="Times New Roman"/>
          <w:snapToGrid/>
          <w:color w:val="000000"/>
          <w:sz w:val="28"/>
          <w:szCs w:val="28"/>
          <w:vertAlign w:val="baseline"/>
        </w:rPr>
        <w:t xml:space="preserve"> </w:t>
      </w:r>
      <w:r>
        <w:rPr>
          <w:rFonts w:eastAsia="Times New Roman"/>
          <w:snapToGrid/>
          <w:color w:val="000000"/>
          <w:sz w:val="28"/>
          <w:szCs w:val="28"/>
          <w:vertAlign w:val="baseline"/>
        </w:rPr>
        <w:t xml:space="preserve">Crim. P. (a) (b). </w:t>
      </w:r>
    </w:p>
    <w:p w14:paraId="409F64D8" w14:textId="752AC067" w:rsidR="00C56326" w:rsidRDefault="00C56326"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 xml:space="preserve">Yet, it is within this timeframe, that between the initial appearance and preliminary hearings, which all early disposition courts operate. </w:t>
      </w:r>
      <w:r w:rsidRPr="00C56326">
        <w:rPr>
          <w:rFonts w:eastAsia="Times New Roman"/>
          <w:i/>
          <w:iCs/>
          <w:snapToGrid/>
          <w:color w:val="000000"/>
          <w:sz w:val="28"/>
          <w:szCs w:val="28"/>
          <w:vertAlign w:val="baseline"/>
        </w:rPr>
        <w:t xml:space="preserve">See </w:t>
      </w:r>
      <w:r>
        <w:rPr>
          <w:rFonts w:eastAsia="Times New Roman"/>
          <w:snapToGrid/>
          <w:color w:val="000000"/>
          <w:sz w:val="28"/>
          <w:szCs w:val="28"/>
          <w:vertAlign w:val="baseline"/>
        </w:rPr>
        <w:t xml:space="preserve">Petition at 3-5. </w:t>
      </w:r>
    </w:p>
    <w:p w14:paraId="59C9D436" w14:textId="230EC10B" w:rsidR="00C56326" w:rsidRDefault="00321F37"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r>
      <w:r w:rsidR="00C56326">
        <w:rPr>
          <w:rFonts w:eastAsia="Times New Roman"/>
          <w:snapToGrid/>
          <w:color w:val="000000"/>
          <w:sz w:val="28"/>
          <w:szCs w:val="28"/>
          <w:vertAlign w:val="baseline"/>
        </w:rPr>
        <w:t xml:space="preserve">It is evident that early disposition courts operate outside the Rules of Criminal Procedure. A closer examination compels the conclusion that early disposition courts also deprive the accused of constitutional rights which this Court’s rules otherwise ensure are protected. </w:t>
      </w:r>
    </w:p>
    <w:p w14:paraId="2F977B23" w14:textId="5391177B" w:rsidR="00C56326" w:rsidRDefault="00C56326" w:rsidP="00C56326">
      <w:pPr>
        <w:pStyle w:val="ListParagraph"/>
        <w:numPr>
          <w:ilvl w:val="0"/>
          <w:numId w:val="7"/>
        </w:numPr>
        <w:jc w:val="both"/>
        <w:rPr>
          <w:rFonts w:eastAsia="Times New Roman"/>
          <w:b/>
          <w:bCs/>
          <w:snapToGrid/>
          <w:color w:val="000000"/>
          <w:sz w:val="28"/>
          <w:szCs w:val="28"/>
          <w:vertAlign w:val="baseline"/>
        </w:rPr>
      </w:pPr>
      <w:r w:rsidRPr="00C56326">
        <w:rPr>
          <w:rFonts w:eastAsia="Times New Roman"/>
          <w:b/>
          <w:bCs/>
          <w:snapToGrid/>
          <w:color w:val="000000"/>
          <w:sz w:val="28"/>
          <w:szCs w:val="28"/>
          <w:vertAlign w:val="baseline"/>
        </w:rPr>
        <w:t xml:space="preserve">Early Disposition Courts Deprive the Accused of Prompt Probable Cause Hearings Conducted by Neutral Magistrates. </w:t>
      </w:r>
    </w:p>
    <w:p w14:paraId="003EB805" w14:textId="77777777" w:rsidR="00C56326" w:rsidRPr="00C56326" w:rsidRDefault="00C56326" w:rsidP="00C56326">
      <w:pPr>
        <w:pStyle w:val="ListParagraph"/>
        <w:ind w:left="1080"/>
        <w:jc w:val="both"/>
        <w:rPr>
          <w:rFonts w:eastAsia="Times New Roman"/>
          <w:b/>
          <w:bCs/>
          <w:snapToGrid/>
          <w:color w:val="000000"/>
          <w:sz w:val="28"/>
          <w:szCs w:val="28"/>
          <w:vertAlign w:val="baseline"/>
        </w:rPr>
      </w:pPr>
    </w:p>
    <w:p w14:paraId="2F501401" w14:textId="77777777" w:rsidR="00C56326" w:rsidRDefault="00110BE9" w:rsidP="00110BE9">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Th</w:t>
      </w:r>
      <w:r w:rsidR="006D0B50">
        <w:rPr>
          <w:rFonts w:eastAsia="Times New Roman"/>
          <w:snapToGrid/>
          <w:color w:val="000000"/>
          <w:sz w:val="28"/>
          <w:szCs w:val="28"/>
          <w:vertAlign w:val="baseline"/>
        </w:rPr>
        <w:t xml:space="preserve">is Court’s existing rules inherently reflect the importance of a second probable cause hearing conducted by a detached magistrate.  Presumably, this Court chose not to conduct status conferences between the initial appearance and the preliminary hearing because of the constitutional safeguards afforded by prompt preliminary hearings.  </w:t>
      </w:r>
    </w:p>
    <w:p w14:paraId="40C8E08F" w14:textId="2CD51663" w:rsidR="00110BE9" w:rsidRDefault="006D0B50" w:rsidP="00C56326">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 xml:space="preserve">Consider </w:t>
      </w:r>
      <w:r w:rsidR="00C56326">
        <w:rPr>
          <w:rFonts w:eastAsia="Times New Roman"/>
          <w:snapToGrid/>
          <w:color w:val="000000"/>
          <w:sz w:val="28"/>
          <w:szCs w:val="28"/>
          <w:vertAlign w:val="baseline"/>
        </w:rPr>
        <w:t>Justice Powell’s explanation</w:t>
      </w:r>
      <w:r w:rsidR="003073F3">
        <w:rPr>
          <w:rFonts w:eastAsia="Times New Roman"/>
          <w:snapToGrid/>
          <w:color w:val="000000"/>
          <w:sz w:val="28"/>
          <w:szCs w:val="28"/>
          <w:vertAlign w:val="baseline"/>
        </w:rPr>
        <w:t xml:space="preserve"> of the importance</w:t>
      </w:r>
      <w:r w:rsidR="00C56326">
        <w:rPr>
          <w:rFonts w:eastAsia="Times New Roman"/>
          <w:snapToGrid/>
          <w:color w:val="000000"/>
          <w:sz w:val="28"/>
          <w:szCs w:val="28"/>
          <w:vertAlign w:val="baseline"/>
        </w:rPr>
        <w:t xml:space="preserve">: </w:t>
      </w:r>
    </w:p>
    <w:p w14:paraId="2383DF12" w14:textId="56396E05" w:rsidR="006D0B50" w:rsidRPr="006D0B50" w:rsidRDefault="006D0B50" w:rsidP="00C56326">
      <w:pPr>
        <w:ind w:left="720" w:right="1440"/>
        <w:jc w:val="both"/>
        <w:rPr>
          <w:rFonts w:eastAsia="Times New Roman"/>
          <w:snapToGrid/>
          <w:sz w:val="28"/>
          <w:szCs w:val="28"/>
          <w:vertAlign w:val="baseline"/>
        </w:rPr>
      </w:pPr>
      <w:r w:rsidRPr="006D0B50">
        <w:rPr>
          <w:rFonts w:eastAsia="Times New Roman"/>
          <w:snapToGrid/>
          <w:color w:val="000000"/>
          <w:sz w:val="28"/>
          <w:szCs w:val="28"/>
          <w:shd w:val="clear" w:color="auto" w:fill="FFFFFF"/>
          <w:vertAlign w:val="baseline"/>
        </w:rPr>
        <w:t xml:space="preserve">Under this practical compromise, a policeman's on-the-scene assessment of probable cause provides legal justification for arresting a person suspected of crime, and for a brief period of detention to take the administrative steps incident to arrest. Once the suspect is in custody, however, the reasons that justify </w:t>
      </w:r>
      <w:r w:rsidRPr="006D0B50">
        <w:rPr>
          <w:rFonts w:eastAsia="Times New Roman"/>
          <w:snapToGrid/>
          <w:color w:val="000000"/>
          <w:sz w:val="28"/>
          <w:szCs w:val="28"/>
          <w:shd w:val="clear" w:color="auto" w:fill="FFFFFF"/>
          <w:vertAlign w:val="baseline"/>
        </w:rPr>
        <w:lastRenderedPageBreak/>
        <w:t>dispensing with the magistrate's neutral judgment evaporate. There no longer is any danger that the suspect will escape or commit further crimes while the police submit their evidence to a magistrate. And, while the State's reasons for taking summary action subside, the suspect's need for a neutral determination of probable cause increases significantly. The consequences of prolonged detention may be more serious than the interference occasioned by arrest. Pretrial confinement may imperil the suspect's job, interrupt his source of income, and impair his family relationships. See R. Goldfarb, Ransom 32-91 (1965); L. </w:t>
      </w:r>
      <w:r w:rsidRPr="006D0B50">
        <w:rPr>
          <w:rFonts w:eastAsia="Times New Roman"/>
          <w:i/>
          <w:iCs/>
          <w:snapToGrid/>
          <w:color w:val="000000"/>
          <w:sz w:val="28"/>
          <w:szCs w:val="28"/>
          <w:bdr w:val="none" w:sz="0" w:space="0" w:color="auto" w:frame="1"/>
          <w:vertAlign w:val="baseline"/>
        </w:rPr>
        <w:t>Katz,</w:t>
      </w:r>
      <w:r w:rsidRPr="006D0B50">
        <w:rPr>
          <w:rFonts w:eastAsia="Times New Roman"/>
          <w:snapToGrid/>
          <w:color w:val="000000"/>
          <w:sz w:val="28"/>
          <w:szCs w:val="28"/>
          <w:shd w:val="clear" w:color="auto" w:fill="FFFFFF"/>
          <w:vertAlign w:val="baseline"/>
        </w:rPr>
        <w:t> Justice Is the Crime 51-62 (1972). Even pretrial release may be accompanied by burdensome conditions that effect a significant restraint of liberty. See, e.g., 18 U.S.C. ss 3146(a)(2), (5). When the stakes are this high, the detached judgment of a neutral magistrate is essential if the Fourth Amendment is to furnish meaningful protection from unfounded interference with liberty. Accordingly, we hold that the Fourth Amendment requires a judicial determination of probable cause as a prerequisite to extended restraint of liberty following arrest.</w:t>
      </w:r>
      <w:r w:rsidRPr="006D0B50">
        <w:rPr>
          <w:rFonts w:eastAsia="Times New Roman"/>
          <w:snapToGrid/>
          <w:color w:val="000000"/>
          <w:sz w:val="28"/>
          <w:szCs w:val="28"/>
          <w:vertAlign w:val="baseline"/>
        </w:rPr>
        <w:br/>
      </w:r>
    </w:p>
    <w:p w14:paraId="15118D48" w14:textId="5A2D5077" w:rsidR="006D0B50" w:rsidRPr="006D0B50" w:rsidRDefault="006D0B50" w:rsidP="006D0B50">
      <w:pPr>
        <w:shd w:val="clear" w:color="auto" w:fill="FFFFFF"/>
        <w:textAlignment w:val="baseline"/>
        <w:rPr>
          <w:rFonts w:eastAsia="Times New Roman"/>
          <w:snapToGrid/>
          <w:color w:val="000000"/>
          <w:sz w:val="28"/>
          <w:szCs w:val="28"/>
          <w:vertAlign w:val="baseline"/>
        </w:rPr>
      </w:pPr>
      <w:r w:rsidRPr="006D0B50">
        <w:rPr>
          <w:rFonts w:eastAsia="Times New Roman"/>
          <w:i/>
          <w:iCs/>
          <w:snapToGrid/>
          <w:color w:val="000000"/>
          <w:sz w:val="28"/>
          <w:szCs w:val="28"/>
          <w:bdr w:val="none" w:sz="0" w:space="0" w:color="auto" w:frame="1"/>
          <w:vertAlign w:val="baseline"/>
        </w:rPr>
        <w:t>Gerstein v. Pugh</w:t>
      </w:r>
      <w:r w:rsidRPr="006D0B50">
        <w:rPr>
          <w:rFonts w:eastAsia="Times New Roman"/>
          <w:snapToGrid/>
          <w:color w:val="000000"/>
          <w:sz w:val="28"/>
          <w:szCs w:val="28"/>
          <w:vertAlign w:val="baseline"/>
        </w:rPr>
        <w:t>, 420 U.S. 103, 113–14</w:t>
      </w:r>
      <w:r w:rsidR="00C56326" w:rsidRPr="00C56326">
        <w:rPr>
          <w:rFonts w:eastAsia="Times New Roman"/>
          <w:snapToGrid/>
          <w:color w:val="000000"/>
          <w:sz w:val="28"/>
          <w:szCs w:val="28"/>
          <w:vertAlign w:val="baseline"/>
        </w:rPr>
        <w:t xml:space="preserve"> </w:t>
      </w:r>
      <w:r w:rsidRPr="006D0B50">
        <w:rPr>
          <w:rFonts w:eastAsia="Times New Roman"/>
          <w:snapToGrid/>
          <w:color w:val="000000"/>
          <w:sz w:val="28"/>
          <w:szCs w:val="28"/>
          <w:vertAlign w:val="baseline"/>
        </w:rPr>
        <w:t xml:space="preserve"> (1975)</w:t>
      </w:r>
    </w:p>
    <w:p w14:paraId="137B4899" w14:textId="4A5C9060" w:rsidR="003142E4" w:rsidRDefault="003142E4" w:rsidP="00C56326">
      <w:pPr>
        <w:spacing w:line="480" w:lineRule="auto"/>
        <w:jc w:val="both"/>
        <w:rPr>
          <w:rFonts w:eastAsia="Times New Roman"/>
          <w:snapToGrid/>
          <w:color w:val="000000"/>
          <w:sz w:val="28"/>
          <w:szCs w:val="28"/>
          <w:vertAlign w:val="baseline"/>
        </w:rPr>
      </w:pPr>
    </w:p>
    <w:p w14:paraId="5C1B9002" w14:textId="64079DB8" w:rsidR="00C56326" w:rsidRDefault="00C56326" w:rsidP="00C56326">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 xml:space="preserve">Early disposition courts prey on the anxieties of the accused by forcing them to quickly decide whether to resolve their case before the accused has ever learned whether the state’s evidence against them is sufficient to bind them over to trial. Often, the accused is forced to choose between considering the plea offer given prior to the preliminary hearing and a timely preliminary hearing. Continuances occur routinely, and those unlucky defendants who are chosen for inclusion in early disposition courts in the few counties where they operate are forced to remain in custody longer than the 10 days required by Rule 5.1 (a). </w:t>
      </w:r>
    </w:p>
    <w:p w14:paraId="133A76E2" w14:textId="720264DE" w:rsidR="00B57727" w:rsidRDefault="00B57727" w:rsidP="00C56326">
      <w:pPr>
        <w:spacing w:line="480" w:lineRule="auto"/>
        <w:jc w:val="both"/>
        <w:rPr>
          <w:rFonts w:eastAsia="Times New Roman"/>
          <w:i/>
          <w:iCs/>
          <w:snapToGrid/>
          <w:color w:val="000000"/>
          <w:sz w:val="28"/>
          <w:szCs w:val="28"/>
          <w:vertAlign w:val="baseline"/>
        </w:rPr>
      </w:pPr>
      <w:r>
        <w:rPr>
          <w:rFonts w:eastAsia="Times New Roman"/>
          <w:snapToGrid/>
          <w:color w:val="000000"/>
          <w:sz w:val="28"/>
          <w:szCs w:val="28"/>
          <w:vertAlign w:val="baseline"/>
        </w:rPr>
        <w:lastRenderedPageBreak/>
        <w:tab/>
        <w:t>The Joint Comment by the Directors of the Maricopa County Indigent Defense Agencies confirms that the accused are held in custody longer than envisioned by Rule 5.1 (a).</w:t>
      </w:r>
      <w:r w:rsidRPr="0006031B">
        <w:rPr>
          <w:rFonts w:eastAsia="Times New Roman"/>
          <w:i/>
          <w:iCs/>
          <w:snapToGrid/>
          <w:color w:val="000000"/>
          <w:sz w:val="28"/>
          <w:szCs w:val="28"/>
          <w:vertAlign w:val="baseline"/>
        </w:rPr>
        <w:t xml:space="preserve"> See </w:t>
      </w:r>
      <w:r>
        <w:rPr>
          <w:rFonts w:eastAsia="Times New Roman"/>
          <w:snapToGrid/>
          <w:color w:val="000000"/>
          <w:sz w:val="28"/>
          <w:szCs w:val="28"/>
          <w:vertAlign w:val="baseline"/>
        </w:rPr>
        <w:t xml:space="preserve">Joint Comment of the Directors of the Maricopa County Indigent Defense Agencies at 4-5. In practice, the accused are forced to delay preliminary hearings while also not benefitting from the protections of the speedy trial  rights in Rule 8, discovery rights in Rule 15, and the ability to challenge the whether the state has lawfully obtained the evidence to be used under Rule 16.  </w:t>
      </w:r>
      <w:r w:rsidRPr="00B57727">
        <w:rPr>
          <w:rFonts w:eastAsia="Times New Roman"/>
          <w:i/>
          <w:iCs/>
          <w:snapToGrid/>
          <w:color w:val="000000"/>
          <w:sz w:val="28"/>
          <w:szCs w:val="28"/>
          <w:vertAlign w:val="baseline"/>
        </w:rPr>
        <w:t>Id.</w:t>
      </w:r>
    </w:p>
    <w:p w14:paraId="60E48A17" w14:textId="2175ECA6" w:rsidR="0006031B" w:rsidRDefault="0006031B" w:rsidP="00C56326">
      <w:pPr>
        <w:spacing w:line="480" w:lineRule="auto"/>
        <w:jc w:val="both"/>
        <w:rPr>
          <w:rFonts w:eastAsia="Times New Roman"/>
          <w:snapToGrid/>
          <w:color w:val="000000"/>
          <w:sz w:val="28"/>
          <w:szCs w:val="28"/>
          <w:vertAlign w:val="baseline"/>
        </w:rPr>
      </w:pPr>
      <w:r>
        <w:rPr>
          <w:rFonts w:eastAsia="Times New Roman"/>
          <w:i/>
          <w:iCs/>
          <w:snapToGrid/>
          <w:color w:val="000000"/>
          <w:sz w:val="28"/>
          <w:szCs w:val="28"/>
          <w:vertAlign w:val="baseline"/>
        </w:rPr>
        <w:tab/>
      </w:r>
      <w:r>
        <w:rPr>
          <w:rFonts w:eastAsia="Times New Roman"/>
          <w:snapToGrid/>
          <w:color w:val="000000"/>
          <w:sz w:val="28"/>
          <w:szCs w:val="28"/>
          <w:vertAlign w:val="baseline"/>
        </w:rPr>
        <w:t xml:space="preserve">Early disposition courts are inconsistent with Rules 4 and 5 of the Arizona Rules of Criminal Procedure. </w:t>
      </w:r>
    </w:p>
    <w:p w14:paraId="440469C8" w14:textId="77777777" w:rsidR="0006031B" w:rsidRDefault="0006031B" w:rsidP="00C56326">
      <w:pPr>
        <w:spacing w:line="480" w:lineRule="auto"/>
        <w:jc w:val="both"/>
        <w:rPr>
          <w:rFonts w:eastAsia="Times New Roman"/>
          <w:snapToGrid/>
          <w:color w:val="000000"/>
          <w:sz w:val="28"/>
          <w:szCs w:val="28"/>
          <w:vertAlign w:val="baseline"/>
        </w:rPr>
      </w:pPr>
    </w:p>
    <w:p w14:paraId="1580416D" w14:textId="785AF073" w:rsidR="0006031B" w:rsidRDefault="0006031B" w:rsidP="0006031B">
      <w:pPr>
        <w:pStyle w:val="ListParagraph"/>
        <w:numPr>
          <w:ilvl w:val="0"/>
          <w:numId w:val="7"/>
        </w:numPr>
        <w:jc w:val="both"/>
        <w:rPr>
          <w:rFonts w:eastAsia="Times New Roman"/>
          <w:b/>
          <w:bCs/>
          <w:snapToGrid/>
          <w:color w:val="000000"/>
          <w:sz w:val="28"/>
          <w:szCs w:val="28"/>
          <w:vertAlign w:val="baseline"/>
        </w:rPr>
      </w:pPr>
      <w:r w:rsidRPr="0006031B">
        <w:rPr>
          <w:rFonts w:eastAsia="Times New Roman"/>
          <w:b/>
          <w:bCs/>
          <w:snapToGrid/>
          <w:color w:val="000000"/>
          <w:sz w:val="28"/>
          <w:szCs w:val="28"/>
          <w:vertAlign w:val="baseline"/>
        </w:rPr>
        <w:t xml:space="preserve">Early Disposition Courts Rely on the Coercive Effect of Pretrial Detention to Procure Guilty Pleas. </w:t>
      </w:r>
    </w:p>
    <w:p w14:paraId="53C760F7" w14:textId="7CF6D604" w:rsidR="0006031B" w:rsidRPr="0006031B" w:rsidRDefault="0006031B" w:rsidP="0006031B">
      <w:pPr>
        <w:pStyle w:val="ListParagraph"/>
        <w:ind w:left="1080"/>
        <w:jc w:val="both"/>
        <w:rPr>
          <w:rFonts w:eastAsia="Times New Roman"/>
          <w:b/>
          <w:bCs/>
          <w:snapToGrid/>
          <w:color w:val="000000"/>
          <w:sz w:val="28"/>
          <w:szCs w:val="28"/>
          <w:vertAlign w:val="baseline"/>
        </w:rPr>
      </w:pPr>
    </w:p>
    <w:p w14:paraId="6949FA1C" w14:textId="5780649D" w:rsidR="00B57727" w:rsidRDefault="00B57727" w:rsidP="00C56326">
      <w:pPr>
        <w:spacing w:line="480" w:lineRule="auto"/>
        <w:jc w:val="both"/>
        <w:rPr>
          <w:rFonts w:eastAsia="Times New Roman"/>
          <w:snapToGrid/>
          <w:color w:val="000000"/>
          <w:sz w:val="28"/>
          <w:szCs w:val="28"/>
          <w:vertAlign w:val="baseline"/>
        </w:rPr>
      </w:pPr>
      <w:r>
        <w:rPr>
          <w:rFonts w:eastAsia="Times New Roman"/>
          <w:snapToGrid/>
          <w:color w:val="000000"/>
          <w:sz w:val="28"/>
          <w:szCs w:val="28"/>
          <w:vertAlign w:val="baseline"/>
        </w:rPr>
        <w:tab/>
        <w:t xml:space="preserve">Central AZ NLG maintains that even the supposed “well  intentioned” creation of early disposition courts to “provide incentives to early pleas and earlier treatment” relied upon the use of pretrial incarceration as leverage to force the accused into plea agreements at such an early stage of the proceedings. </w:t>
      </w:r>
      <w:r w:rsidRPr="00B57727">
        <w:rPr>
          <w:rFonts w:eastAsia="Times New Roman"/>
          <w:i/>
          <w:iCs/>
          <w:snapToGrid/>
          <w:color w:val="000000"/>
          <w:sz w:val="28"/>
          <w:szCs w:val="28"/>
          <w:vertAlign w:val="baseline"/>
        </w:rPr>
        <w:t>Id</w:t>
      </w:r>
      <w:r>
        <w:rPr>
          <w:rFonts w:eastAsia="Times New Roman"/>
          <w:snapToGrid/>
          <w:color w:val="000000"/>
          <w:sz w:val="28"/>
          <w:szCs w:val="28"/>
          <w:vertAlign w:val="baseline"/>
        </w:rPr>
        <w:t xml:space="preserve">. at 2-3. </w:t>
      </w:r>
      <w:r w:rsidR="0006031B">
        <w:rPr>
          <w:rFonts w:eastAsia="Times New Roman"/>
          <w:snapToGrid/>
          <w:color w:val="000000"/>
          <w:sz w:val="28"/>
          <w:szCs w:val="28"/>
          <w:vertAlign w:val="baseline"/>
        </w:rPr>
        <w:t xml:space="preserve"> This purpose speaks to the need for bail reform. Central  AZ NLG supports a separate petition, R-21-0051, which will ensure that courts are not holding individuals in custody that should be released, including those accused with drug possession under 1996’s Voter Proposition 200. </w:t>
      </w:r>
    </w:p>
    <w:p w14:paraId="73A0CEDF" w14:textId="1EF73300" w:rsidR="0006031B" w:rsidRDefault="0006031B" w:rsidP="00A00C80">
      <w:pPr>
        <w:spacing w:line="480" w:lineRule="auto"/>
        <w:jc w:val="both"/>
        <w:rPr>
          <w:rFonts w:eastAsia="Times New Roman"/>
          <w:snapToGrid/>
          <w:color w:val="000000"/>
          <w:sz w:val="28"/>
          <w:szCs w:val="28"/>
          <w:shd w:val="clear" w:color="auto" w:fill="FFFFFF"/>
          <w:vertAlign w:val="baseline"/>
        </w:rPr>
      </w:pPr>
      <w:r>
        <w:rPr>
          <w:rFonts w:eastAsia="Times New Roman"/>
          <w:snapToGrid/>
          <w:color w:val="000000"/>
          <w:sz w:val="28"/>
          <w:szCs w:val="28"/>
          <w:vertAlign w:val="baseline"/>
        </w:rPr>
        <w:lastRenderedPageBreak/>
        <w:tab/>
      </w:r>
      <w:r w:rsidRPr="0006031B">
        <w:rPr>
          <w:rFonts w:eastAsia="Times New Roman"/>
          <w:snapToGrid/>
          <w:color w:val="000000"/>
          <w:sz w:val="28"/>
          <w:szCs w:val="28"/>
          <w:vertAlign w:val="baseline"/>
        </w:rPr>
        <w:t xml:space="preserve">It is widely known that pretrial detention is a coercive factor which  puts unfair pressure of the accused to quickly enter into plea agreements with the government. </w:t>
      </w:r>
      <w:r w:rsidRPr="0006031B">
        <w:rPr>
          <w:rFonts w:eastAsia="Times New Roman"/>
          <w:i/>
          <w:iCs/>
          <w:snapToGrid/>
          <w:color w:val="000000"/>
          <w:sz w:val="28"/>
          <w:szCs w:val="28"/>
          <w:shd w:val="clear" w:color="auto" w:fill="FFFFFF"/>
          <w:vertAlign w:val="baseline"/>
        </w:rPr>
        <w:t xml:space="preserve">See </w:t>
      </w:r>
      <w:r w:rsidRPr="0006031B">
        <w:rPr>
          <w:rFonts w:eastAsia="Times New Roman"/>
          <w:snapToGrid/>
          <w:color w:val="000000"/>
          <w:sz w:val="28"/>
          <w:szCs w:val="28"/>
          <w:vertAlign w:val="baseline"/>
        </w:rPr>
        <w:t>Samuel R. Wiseman, </w:t>
      </w:r>
      <w:r w:rsidRPr="0006031B">
        <w:rPr>
          <w:rFonts w:eastAsia="Times New Roman"/>
          <w:i/>
          <w:iCs/>
          <w:snapToGrid/>
          <w:color w:val="000000"/>
          <w:sz w:val="28"/>
          <w:szCs w:val="28"/>
          <w:bdr w:val="none" w:sz="0" w:space="0" w:color="auto" w:frame="1"/>
          <w:vertAlign w:val="baseline"/>
        </w:rPr>
        <w:t>Bail and Mass Incarceration</w:t>
      </w:r>
      <w:r w:rsidRPr="0006031B">
        <w:rPr>
          <w:rFonts w:eastAsia="Times New Roman"/>
          <w:snapToGrid/>
          <w:color w:val="000000"/>
          <w:sz w:val="28"/>
          <w:szCs w:val="28"/>
          <w:vertAlign w:val="baseline"/>
        </w:rPr>
        <w:t>, 53 Ga. L. Rev. 235, 240–41 (2018)</w:t>
      </w:r>
      <w:r w:rsidRPr="0006031B">
        <w:rPr>
          <w:rFonts w:eastAsia="Times New Roman"/>
          <w:snapToGrid/>
          <w:color w:val="000000"/>
          <w:sz w:val="28"/>
          <w:szCs w:val="28"/>
          <w:vertAlign w:val="baseline"/>
        </w:rPr>
        <w:t>. “</w:t>
      </w:r>
      <w:r w:rsidRPr="0006031B">
        <w:rPr>
          <w:rFonts w:eastAsia="Times New Roman"/>
          <w:snapToGrid/>
          <w:color w:val="000000"/>
          <w:sz w:val="28"/>
          <w:szCs w:val="28"/>
          <w:shd w:val="clear" w:color="auto" w:fill="FFFFFF"/>
          <w:vertAlign w:val="baseline"/>
        </w:rPr>
        <w:t>Released defendants do not face the same pressures as detained defendants, and they are in a better position to resist unfavorable </w:t>
      </w:r>
      <w:r w:rsidRPr="0006031B">
        <w:rPr>
          <w:rFonts w:eastAsia="Times New Roman"/>
          <w:snapToGrid/>
          <w:color w:val="000000"/>
          <w:sz w:val="28"/>
          <w:szCs w:val="28"/>
          <w:bdr w:val="none" w:sz="0" w:space="0" w:color="auto" w:frame="1"/>
          <w:shd w:val="clear" w:color="auto" w:fill="FFFFFF"/>
          <w:vertAlign w:val="baseline"/>
        </w:rPr>
        <w:t>plea</w:t>
      </w:r>
      <w:r w:rsidRPr="0006031B">
        <w:rPr>
          <w:rFonts w:eastAsia="Times New Roman"/>
          <w:snapToGrid/>
          <w:color w:val="000000"/>
          <w:sz w:val="28"/>
          <w:szCs w:val="28"/>
          <w:shd w:val="clear" w:color="auto" w:fill="FFFFFF"/>
          <w:vertAlign w:val="baseline"/>
        </w:rPr>
        <w:t> offers, file motions to suppress, seek dismissal, and, in rare cases, proceed to trial</w:t>
      </w:r>
      <w:r w:rsidRPr="0006031B">
        <w:rPr>
          <w:rFonts w:eastAsia="Times New Roman"/>
          <w:snapToGrid/>
          <w:color w:val="000000"/>
          <w:sz w:val="28"/>
          <w:szCs w:val="28"/>
          <w:shd w:val="clear" w:color="auto" w:fill="FFFFFF"/>
          <w:vertAlign w:val="baseline"/>
        </w:rPr>
        <w:t xml:space="preserve">.” </w:t>
      </w:r>
      <w:r w:rsidRPr="00A00C80">
        <w:rPr>
          <w:rFonts w:eastAsia="Times New Roman"/>
          <w:i/>
          <w:iCs/>
          <w:snapToGrid/>
          <w:color w:val="000000"/>
          <w:sz w:val="28"/>
          <w:szCs w:val="28"/>
          <w:shd w:val="clear" w:color="auto" w:fill="FFFFFF"/>
          <w:vertAlign w:val="baseline"/>
        </w:rPr>
        <w:t>Id</w:t>
      </w:r>
      <w:r w:rsidRPr="0006031B">
        <w:rPr>
          <w:rFonts w:eastAsia="Times New Roman"/>
          <w:snapToGrid/>
          <w:color w:val="000000"/>
          <w:sz w:val="28"/>
          <w:szCs w:val="28"/>
          <w:shd w:val="clear" w:color="auto" w:fill="FFFFFF"/>
          <w:vertAlign w:val="baseline"/>
        </w:rPr>
        <w:t xml:space="preserve">. </w:t>
      </w:r>
    </w:p>
    <w:p w14:paraId="0C6C5B5F" w14:textId="41CD2273" w:rsidR="00A00C80" w:rsidRPr="0006031B" w:rsidRDefault="00A00C80" w:rsidP="00A00C80">
      <w:pPr>
        <w:spacing w:line="480" w:lineRule="auto"/>
        <w:jc w:val="both"/>
        <w:rPr>
          <w:rFonts w:eastAsia="Times New Roman"/>
          <w:snapToGrid/>
          <w:color w:val="000000"/>
          <w:sz w:val="28"/>
          <w:szCs w:val="28"/>
          <w:vertAlign w:val="baseline"/>
        </w:rPr>
      </w:pPr>
      <w:r>
        <w:rPr>
          <w:rFonts w:eastAsia="Times New Roman"/>
          <w:snapToGrid/>
          <w:color w:val="000000"/>
          <w:sz w:val="28"/>
          <w:szCs w:val="28"/>
          <w:shd w:val="clear" w:color="auto" w:fill="FFFFFF"/>
          <w:vertAlign w:val="baseline"/>
        </w:rPr>
        <w:tab/>
        <w:t xml:space="preserve">Where courts are created to operate out of this Court’s timelines for the purposes of  incentivizing detained individuals to enter into plea agreements in cases where probation would be mandatory, this Court should be given a formal opportunity to decide whether such practices are consistent with this Court’s rules and constitutions of the State of Arizona and the United States Constitution. </w:t>
      </w:r>
    </w:p>
    <w:p w14:paraId="2801219D" w14:textId="1D17C5E7" w:rsidR="00C56326" w:rsidRPr="0006031B" w:rsidRDefault="00B57727" w:rsidP="0006031B">
      <w:pPr>
        <w:spacing w:line="480" w:lineRule="auto"/>
        <w:jc w:val="both"/>
        <w:rPr>
          <w:rFonts w:eastAsia="Times New Roman"/>
          <w:snapToGrid/>
          <w:color w:val="000000"/>
          <w:sz w:val="28"/>
          <w:szCs w:val="28"/>
          <w:vertAlign w:val="baseline"/>
        </w:rPr>
      </w:pPr>
      <w:r w:rsidRPr="0006031B">
        <w:rPr>
          <w:rFonts w:eastAsia="Times New Roman"/>
          <w:snapToGrid/>
          <w:color w:val="000000"/>
          <w:sz w:val="28"/>
          <w:szCs w:val="28"/>
          <w:vertAlign w:val="baseline"/>
        </w:rPr>
        <w:tab/>
      </w:r>
    </w:p>
    <w:p w14:paraId="109C7CEF" w14:textId="3CD3D08B" w:rsidR="00C56326" w:rsidRPr="00C56326" w:rsidRDefault="00C56326" w:rsidP="00C56326">
      <w:pPr>
        <w:pStyle w:val="ListParagraph"/>
        <w:numPr>
          <w:ilvl w:val="0"/>
          <w:numId w:val="7"/>
        </w:numPr>
        <w:jc w:val="both"/>
        <w:rPr>
          <w:rFonts w:eastAsia="Times New Roman"/>
          <w:b/>
          <w:bCs/>
          <w:snapToGrid/>
          <w:sz w:val="28"/>
          <w:szCs w:val="28"/>
          <w:vertAlign w:val="baseline"/>
        </w:rPr>
      </w:pPr>
      <w:r w:rsidRPr="00C56326">
        <w:rPr>
          <w:rFonts w:eastAsia="Times New Roman"/>
          <w:b/>
          <w:bCs/>
          <w:snapToGrid/>
          <w:sz w:val="28"/>
          <w:szCs w:val="28"/>
          <w:vertAlign w:val="baseline"/>
        </w:rPr>
        <w:t xml:space="preserve">Early Disposition Courts Deprive the Accused of the Effective Assistance of Counsel. </w:t>
      </w:r>
    </w:p>
    <w:p w14:paraId="4C44B670" w14:textId="53E347E7" w:rsidR="00515835" w:rsidRDefault="00515835" w:rsidP="0016027E">
      <w:pPr>
        <w:ind w:right="58"/>
        <w:rPr>
          <w:rFonts w:eastAsia="Times New Roman"/>
          <w:snapToGrid/>
          <w:sz w:val="28"/>
          <w:szCs w:val="28"/>
          <w:vertAlign w:val="baseline"/>
          <w:lang w:eastAsia="x-none"/>
        </w:rPr>
      </w:pPr>
    </w:p>
    <w:p w14:paraId="4DE36103" w14:textId="643631A7" w:rsidR="00987E39" w:rsidRDefault="00C56326" w:rsidP="00987E39">
      <w:pPr>
        <w:spacing w:line="480" w:lineRule="auto"/>
        <w:ind w:firstLine="720"/>
        <w:jc w:val="both"/>
        <w:rPr>
          <w:rFonts w:eastAsia="Times New Roman"/>
          <w:snapToGrid/>
          <w:color w:val="000000"/>
          <w:sz w:val="28"/>
          <w:szCs w:val="28"/>
          <w:shd w:val="clear" w:color="auto" w:fill="FFFFFF"/>
          <w:vertAlign w:val="baseline"/>
        </w:rPr>
      </w:pPr>
      <w:r w:rsidRPr="00D32E50">
        <w:rPr>
          <w:rFonts w:eastAsia="Times New Roman"/>
          <w:snapToGrid/>
          <w:sz w:val="28"/>
          <w:szCs w:val="28"/>
          <w:vertAlign w:val="baseline"/>
          <w:lang w:eastAsia="x-none"/>
        </w:rPr>
        <w:t>The accused have a constitutional right to the effective assistance of counsel during plea negotiation</w:t>
      </w:r>
      <w:r w:rsidR="0006031B">
        <w:rPr>
          <w:rFonts w:eastAsia="Times New Roman"/>
          <w:snapToGrid/>
          <w:sz w:val="28"/>
          <w:szCs w:val="28"/>
          <w:vertAlign w:val="baseline"/>
          <w:lang w:eastAsia="x-none"/>
        </w:rPr>
        <w:t>s</w:t>
      </w:r>
      <w:r w:rsidR="00987E39" w:rsidRPr="00D32E50">
        <w:rPr>
          <w:rFonts w:eastAsia="Times New Roman"/>
          <w:snapToGrid/>
          <w:sz w:val="28"/>
          <w:szCs w:val="28"/>
          <w:vertAlign w:val="baseline"/>
          <w:lang w:eastAsia="x-none"/>
        </w:rPr>
        <w:t xml:space="preserve">. </w:t>
      </w:r>
      <w:r w:rsidR="00987E39" w:rsidRPr="00987E39">
        <w:rPr>
          <w:rFonts w:eastAsia="Times New Roman"/>
          <w:i/>
          <w:iCs/>
          <w:snapToGrid/>
          <w:color w:val="000000"/>
          <w:sz w:val="28"/>
          <w:szCs w:val="28"/>
          <w:bdr w:val="none" w:sz="0" w:space="0" w:color="auto" w:frame="1"/>
          <w:vertAlign w:val="baseline"/>
        </w:rPr>
        <w:t>Lafler v. Cooper</w:t>
      </w:r>
      <w:r w:rsidR="00987E39" w:rsidRPr="00987E39">
        <w:rPr>
          <w:rFonts w:eastAsia="Times New Roman"/>
          <w:snapToGrid/>
          <w:color w:val="000000"/>
          <w:sz w:val="28"/>
          <w:szCs w:val="28"/>
          <w:vertAlign w:val="baseline"/>
        </w:rPr>
        <w:t>, 566 U.S. 156, 162</w:t>
      </w:r>
      <w:r w:rsidR="00987E39" w:rsidRPr="00D32E50">
        <w:rPr>
          <w:rFonts w:eastAsia="Times New Roman"/>
          <w:snapToGrid/>
          <w:color w:val="000000"/>
          <w:sz w:val="28"/>
          <w:szCs w:val="28"/>
          <w:vertAlign w:val="baseline"/>
        </w:rPr>
        <w:t xml:space="preserve"> (2012). Although the state has no obligation to extend plea offers or otherwise engage in plea negotiations with the accused, </w:t>
      </w:r>
      <w:r w:rsidR="00987E39" w:rsidRPr="00D32E50">
        <w:rPr>
          <w:rFonts w:eastAsia="Times New Roman"/>
          <w:snapToGrid/>
          <w:color w:val="000000"/>
          <w:sz w:val="28"/>
          <w:szCs w:val="28"/>
          <w:shd w:val="clear" w:color="auto" w:fill="FFFFFF"/>
          <w:vertAlign w:val="baseline"/>
        </w:rPr>
        <w:t xml:space="preserve">“when a State opts to act in a field where its action has significant discretionary elements, it must nonetheless act in accord with the dictates of the Constitution.” </w:t>
      </w:r>
      <w:r w:rsidR="00987E39" w:rsidRPr="00D32E50">
        <w:rPr>
          <w:rFonts w:eastAsia="Times New Roman"/>
          <w:i/>
          <w:iCs/>
          <w:snapToGrid/>
          <w:color w:val="000000"/>
          <w:sz w:val="28"/>
          <w:szCs w:val="28"/>
          <w:shd w:val="clear" w:color="auto" w:fill="FFFFFF"/>
          <w:vertAlign w:val="baseline"/>
        </w:rPr>
        <w:t>Id</w:t>
      </w:r>
      <w:r w:rsidR="00987E39" w:rsidRPr="00D32E50">
        <w:rPr>
          <w:rFonts w:eastAsia="Times New Roman"/>
          <w:snapToGrid/>
          <w:color w:val="000000"/>
          <w:sz w:val="28"/>
          <w:szCs w:val="28"/>
          <w:shd w:val="clear" w:color="auto" w:fill="FFFFFF"/>
          <w:vertAlign w:val="baseline"/>
        </w:rPr>
        <w:t>. at 168 (internal citation omitted).</w:t>
      </w:r>
      <w:r w:rsidR="00B57727">
        <w:rPr>
          <w:rFonts w:eastAsia="Times New Roman"/>
          <w:snapToGrid/>
          <w:color w:val="000000"/>
          <w:sz w:val="28"/>
          <w:szCs w:val="28"/>
          <w:shd w:val="clear" w:color="auto" w:fill="FFFFFF"/>
          <w:vertAlign w:val="baseline"/>
        </w:rPr>
        <w:t xml:space="preserve"> </w:t>
      </w:r>
    </w:p>
    <w:p w14:paraId="6563CB91" w14:textId="77777777" w:rsidR="00D32E50" w:rsidRPr="00D32E50" w:rsidRDefault="00D32E50" w:rsidP="00D32E50">
      <w:pPr>
        <w:spacing w:line="480" w:lineRule="auto"/>
        <w:ind w:firstLine="720"/>
        <w:jc w:val="both"/>
        <w:rPr>
          <w:rFonts w:eastAsia="Times New Roman"/>
          <w:snapToGrid/>
          <w:color w:val="000000"/>
          <w:sz w:val="28"/>
          <w:szCs w:val="28"/>
          <w:vertAlign w:val="baseline"/>
        </w:rPr>
      </w:pPr>
      <w:r w:rsidRPr="00D32E50">
        <w:rPr>
          <w:rFonts w:eastAsia="Times New Roman"/>
          <w:snapToGrid/>
          <w:color w:val="000000"/>
          <w:sz w:val="28"/>
          <w:szCs w:val="28"/>
          <w:shd w:val="clear" w:color="auto" w:fill="FFFFFF"/>
          <w:vertAlign w:val="baseline"/>
        </w:rPr>
        <w:lastRenderedPageBreak/>
        <w:t xml:space="preserve">In order to be effective, “counsel has a duty to engage in adequate investigation of possible defenses.” </w:t>
      </w:r>
      <w:r w:rsidRPr="00D32E50">
        <w:rPr>
          <w:rFonts w:eastAsia="Times New Roman"/>
          <w:i/>
          <w:iCs/>
          <w:snapToGrid/>
          <w:color w:val="000000"/>
          <w:sz w:val="28"/>
          <w:szCs w:val="28"/>
          <w:bdr w:val="none" w:sz="0" w:space="0" w:color="auto" w:frame="1"/>
          <w:vertAlign w:val="baseline"/>
        </w:rPr>
        <w:t>State v. Denz</w:t>
      </w:r>
      <w:r w:rsidRPr="00D32E50">
        <w:rPr>
          <w:rFonts w:eastAsia="Times New Roman"/>
          <w:snapToGrid/>
          <w:color w:val="000000"/>
          <w:sz w:val="28"/>
          <w:szCs w:val="28"/>
          <w:vertAlign w:val="baseline"/>
        </w:rPr>
        <w:t xml:space="preserve">, 232 Ariz. 441, 445, ¶ 11 (App. 2013). The only exception to this duty is when counsel can make a “reasoned conclusion that [additional investigation] would not yield useful information.”  </w:t>
      </w:r>
      <w:r w:rsidRPr="00D32E50">
        <w:rPr>
          <w:rFonts w:eastAsia="Times New Roman"/>
          <w:i/>
          <w:iCs/>
          <w:snapToGrid/>
          <w:color w:val="000000"/>
          <w:sz w:val="28"/>
          <w:szCs w:val="28"/>
          <w:vertAlign w:val="baseline"/>
        </w:rPr>
        <w:t>Id</w:t>
      </w:r>
      <w:r w:rsidRPr="00D32E50">
        <w:rPr>
          <w:rFonts w:eastAsia="Times New Roman"/>
          <w:snapToGrid/>
          <w:color w:val="000000"/>
          <w:sz w:val="28"/>
          <w:szCs w:val="28"/>
          <w:vertAlign w:val="baseline"/>
        </w:rPr>
        <w:t xml:space="preserve">. </w:t>
      </w:r>
    </w:p>
    <w:p w14:paraId="2FB9387D" w14:textId="40EE6927" w:rsidR="00987E39" w:rsidRDefault="00987E39" w:rsidP="00D32E50">
      <w:pPr>
        <w:spacing w:line="480" w:lineRule="auto"/>
        <w:ind w:firstLine="720"/>
        <w:jc w:val="both"/>
        <w:rPr>
          <w:rFonts w:eastAsia="Times New Roman"/>
          <w:snapToGrid/>
          <w:color w:val="000000"/>
          <w:sz w:val="28"/>
          <w:szCs w:val="28"/>
          <w:shd w:val="clear" w:color="auto" w:fill="FFFFFF"/>
          <w:vertAlign w:val="baseline"/>
        </w:rPr>
      </w:pPr>
      <w:r w:rsidRPr="00D32E50">
        <w:rPr>
          <w:rFonts w:eastAsia="Times New Roman"/>
          <w:snapToGrid/>
          <w:color w:val="000000"/>
          <w:sz w:val="28"/>
          <w:szCs w:val="28"/>
          <w:shd w:val="clear" w:color="auto" w:fill="FFFFFF"/>
          <w:vertAlign w:val="baseline"/>
        </w:rPr>
        <w:t>The truncated timelines</w:t>
      </w:r>
      <w:r w:rsidR="00D32E50" w:rsidRPr="00D32E50">
        <w:rPr>
          <w:rFonts w:eastAsia="Times New Roman"/>
          <w:snapToGrid/>
          <w:color w:val="000000"/>
          <w:sz w:val="28"/>
          <w:szCs w:val="28"/>
          <w:shd w:val="clear" w:color="auto" w:fill="FFFFFF"/>
          <w:vertAlign w:val="baseline"/>
        </w:rPr>
        <w:t xml:space="preserve"> dictated by early disposition courts ensures that the accused are denied effective assistance of counsel. </w:t>
      </w:r>
      <w:r w:rsidR="00D32E50">
        <w:rPr>
          <w:rFonts w:eastAsia="Times New Roman"/>
          <w:snapToGrid/>
          <w:color w:val="000000"/>
          <w:sz w:val="28"/>
          <w:szCs w:val="28"/>
          <w:shd w:val="clear" w:color="auto" w:fill="FFFFFF"/>
          <w:vertAlign w:val="baseline"/>
        </w:rPr>
        <w:t xml:space="preserve"> Attorneys appearing in early disposition courts often handle enormous caseloads. They lack time to interview witnesses, visit crime scenes, or develop evidence which could acquit the accused at trial. Rather than making reasoned decisions not to conduct additional investigations, counsel practicing in early disposition courts often conduct no investigation at all. </w:t>
      </w:r>
    </w:p>
    <w:p w14:paraId="1544C33B" w14:textId="40F02F71" w:rsidR="00D32E50" w:rsidRDefault="00D32E50" w:rsidP="00D32E50">
      <w:pPr>
        <w:spacing w:line="480" w:lineRule="auto"/>
        <w:ind w:firstLine="720"/>
        <w:jc w:val="both"/>
        <w:rPr>
          <w:rFonts w:eastAsia="Times New Roman"/>
          <w:snapToGrid/>
          <w:color w:val="000000"/>
          <w:sz w:val="28"/>
          <w:szCs w:val="28"/>
          <w:shd w:val="clear" w:color="auto" w:fill="FFFFFF"/>
          <w:vertAlign w:val="baseline"/>
        </w:rPr>
      </w:pPr>
      <w:r>
        <w:rPr>
          <w:rFonts w:eastAsia="Times New Roman"/>
          <w:snapToGrid/>
          <w:color w:val="000000"/>
          <w:sz w:val="28"/>
          <w:szCs w:val="28"/>
          <w:shd w:val="clear" w:color="auto" w:fill="FFFFFF"/>
          <w:vertAlign w:val="baseline"/>
        </w:rPr>
        <w:t>The result puts the accused in an untenable situation which is at odds with how this Court’s Rules of Criminal Procedure are designed to operate.</w:t>
      </w:r>
    </w:p>
    <w:p w14:paraId="5958E900" w14:textId="77777777" w:rsidR="00093698" w:rsidRDefault="00093698" w:rsidP="00D32E50">
      <w:pPr>
        <w:spacing w:line="480" w:lineRule="auto"/>
        <w:ind w:firstLine="720"/>
        <w:jc w:val="both"/>
        <w:rPr>
          <w:rFonts w:eastAsia="Times New Roman"/>
          <w:snapToGrid/>
          <w:color w:val="000000"/>
          <w:sz w:val="28"/>
          <w:szCs w:val="28"/>
          <w:shd w:val="clear" w:color="auto" w:fill="FFFFFF"/>
          <w:vertAlign w:val="baseline"/>
        </w:rPr>
      </w:pPr>
    </w:p>
    <w:p w14:paraId="7A94382B" w14:textId="2591E6A3" w:rsidR="00D32E50" w:rsidRPr="00093698" w:rsidRDefault="00D32E50" w:rsidP="00093698">
      <w:pPr>
        <w:pStyle w:val="ListParagraph"/>
        <w:numPr>
          <w:ilvl w:val="0"/>
          <w:numId w:val="1"/>
        </w:numPr>
        <w:jc w:val="both"/>
        <w:rPr>
          <w:rFonts w:eastAsia="Times New Roman"/>
          <w:b/>
          <w:bCs/>
          <w:snapToGrid/>
          <w:color w:val="000000"/>
          <w:sz w:val="28"/>
          <w:szCs w:val="28"/>
          <w:shd w:val="clear" w:color="auto" w:fill="FFFFFF"/>
          <w:vertAlign w:val="baseline"/>
        </w:rPr>
      </w:pPr>
      <w:r w:rsidRPr="00093698">
        <w:rPr>
          <w:rFonts w:eastAsia="Times New Roman"/>
          <w:b/>
          <w:bCs/>
          <w:snapToGrid/>
          <w:color w:val="000000"/>
          <w:sz w:val="28"/>
          <w:szCs w:val="28"/>
          <w:shd w:val="clear" w:color="auto" w:fill="FFFFFF"/>
          <w:vertAlign w:val="baseline"/>
        </w:rPr>
        <w:t>The Proposed Amendment to Rule 15.8</w:t>
      </w:r>
      <w:r w:rsidR="00093698">
        <w:rPr>
          <w:rFonts w:eastAsia="Times New Roman"/>
          <w:b/>
          <w:bCs/>
          <w:snapToGrid/>
          <w:color w:val="000000"/>
          <w:sz w:val="28"/>
          <w:szCs w:val="28"/>
          <w:shd w:val="clear" w:color="auto" w:fill="FFFFFF"/>
          <w:vertAlign w:val="baseline"/>
        </w:rPr>
        <w:t xml:space="preserve"> (a)</w:t>
      </w:r>
      <w:r w:rsidRPr="00093698">
        <w:rPr>
          <w:rFonts w:eastAsia="Times New Roman"/>
          <w:b/>
          <w:bCs/>
          <w:snapToGrid/>
          <w:color w:val="000000"/>
          <w:sz w:val="28"/>
          <w:szCs w:val="28"/>
          <w:shd w:val="clear" w:color="auto" w:fill="FFFFFF"/>
          <w:vertAlign w:val="baseline"/>
        </w:rPr>
        <w:t xml:space="preserve"> is an Improvement to the Status Quo.</w:t>
      </w:r>
    </w:p>
    <w:p w14:paraId="586BFC70" w14:textId="77777777" w:rsidR="009738E8" w:rsidRDefault="009738E8" w:rsidP="00D32E50">
      <w:pPr>
        <w:spacing w:line="480" w:lineRule="auto"/>
        <w:ind w:firstLine="720"/>
        <w:jc w:val="both"/>
        <w:rPr>
          <w:rFonts w:eastAsia="Times New Roman"/>
          <w:snapToGrid/>
          <w:color w:val="000000"/>
          <w:sz w:val="28"/>
          <w:szCs w:val="28"/>
          <w:vertAlign w:val="baseline"/>
        </w:rPr>
      </w:pPr>
    </w:p>
    <w:p w14:paraId="6BF134F6" w14:textId="3D8BA14E" w:rsidR="00D32E50" w:rsidRDefault="00D32E50" w:rsidP="00D32E50">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Petitioner notes the deficiencies of early disposition courts. Petition at 4-8. Petitioner also concedes that early disposition courts currently operate outside the rule of law established by this Court. Petition at 4.  Yet, Petitioner asserts that early disposition courts could “still function” if Rule 15.8</w:t>
      </w:r>
      <w:r w:rsidR="00A00C80">
        <w:rPr>
          <w:rFonts w:eastAsia="Times New Roman"/>
          <w:snapToGrid/>
          <w:color w:val="000000"/>
          <w:sz w:val="28"/>
          <w:szCs w:val="28"/>
          <w:vertAlign w:val="baseline"/>
        </w:rPr>
        <w:t xml:space="preserve"> (a) </w:t>
      </w:r>
      <w:r>
        <w:rPr>
          <w:rFonts w:eastAsia="Times New Roman"/>
          <w:snapToGrid/>
          <w:color w:val="000000"/>
          <w:sz w:val="28"/>
          <w:szCs w:val="28"/>
          <w:vertAlign w:val="baseline"/>
        </w:rPr>
        <w:t>were amended to apply to all cases where the state has extended a plea offer. Petition at 10.</w:t>
      </w:r>
    </w:p>
    <w:p w14:paraId="258FEDD0" w14:textId="77777777" w:rsidR="002C42C1" w:rsidRDefault="00D32E50" w:rsidP="002C42C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lastRenderedPageBreak/>
        <w:t xml:space="preserve">Central AZ NLG contests whether early disposition courts could ever function in a constitutional manner.  However, Central AZ NLG recognizes that early disposition courts have been operating outside the Rules of Criminal Procedure for over 25 years in some jurisdictions. </w:t>
      </w:r>
    </w:p>
    <w:p w14:paraId="3F1127CD" w14:textId="40B342FF" w:rsidR="002C42C1" w:rsidRDefault="002C42C1" w:rsidP="002C42C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It is true that the unlucky individuals subjected to the plea negotiations in early disposition courts do not enjoy the same protections offered under Rule 15.8</w:t>
      </w:r>
      <w:r w:rsidR="00A00C80">
        <w:rPr>
          <w:rFonts w:eastAsia="Times New Roman"/>
          <w:snapToGrid/>
          <w:color w:val="000000"/>
          <w:sz w:val="28"/>
          <w:szCs w:val="28"/>
          <w:vertAlign w:val="baseline"/>
        </w:rPr>
        <w:t xml:space="preserve"> (a) </w:t>
      </w:r>
      <w:r>
        <w:rPr>
          <w:rFonts w:eastAsia="Times New Roman"/>
          <w:snapToGrid/>
          <w:color w:val="000000"/>
          <w:sz w:val="28"/>
          <w:szCs w:val="28"/>
          <w:vertAlign w:val="baseline"/>
        </w:rPr>
        <w:t xml:space="preserve"> as those whose cases proceed by process ordered by this Court. Those unlucky individuals are forced to make serious decisions concerning their cases without the benefit of disclosure that would otherwise be required by Rule 15.1(b) of the Arizona Rules of Criminal Procedure. </w:t>
      </w:r>
    </w:p>
    <w:p w14:paraId="44404BB9" w14:textId="4683AAF6" w:rsidR="002C42C1" w:rsidRDefault="002C42C1" w:rsidP="002C42C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Therefore, Central AZ NLG supports the proposed amendment to Rule 15.8 offered by Petitioner</w:t>
      </w:r>
      <w:r w:rsidR="00A00C80">
        <w:rPr>
          <w:rFonts w:eastAsia="Times New Roman"/>
          <w:snapToGrid/>
          <w:color w:val="000000"/>
          <w:sz w:val="28"/>
          <w:szCs w:val="28"/>
          <w:vertAlign w:val="baseline"/>
        </w:rPr>
        <w:t xml:space="preserve"> to the extent that early disposition courts are permitted to continue to exist</w:t>
      </w:r>
      <w:r>
        <w:rPr>
          <w:rFonts w:eastAsia="Times New Roman"/>
          <w:snapToGrid/>
          <w:color w:val="000000"/>
          <w:sz w:val="28"/>
          <w:szCs w:val="28"/>
          <w:vertAlign w:val="baseline"/>
        </w:rPr>
        <w:t xml:space="preserve">. </w:t>
      </w:r>
    </w:p>
    <w:p w14:paraId="44428B1D" w14:textId="47DFB904" w:rsidR="00A00C80" w:rsidRDefault="00A00C80" w:rsidP="002C42C1">
      <w:pPr>
        <w:spacing w:line="480" w:lineRule="auto"/>
        <w:ind w:firstLine="720"/>
        <w:jc w:val="both"/>
        <w:rPr>
          <w:rFonts w:eastAsia="Times New Roman"/>
          <w:snapToGrid/>
          <w:color w:val="000000"/>
          <w:sz w:val="28"/>
          <w:szCs w:val="28"/>
          <w:vertAlign w:val="baseline"/>
        </w:rPr>
      </w:pPr>
    </w:p>
    <w:p w14:paraId="6CC9B45A" w14:textId="1118E21A" w:rsidR="00A00C80" w:rsidRDefault="00A00C80" w:rsidP="002C42C1">
      <w:pPr>
        <w:spacing w:line="480" w:lineRule="auto"/>
        <w:ind w:firstLine="720"/>
        <w:jc w:val="both"/>
        <w:rPr>
          <w:rFonts w:eastAsia="Times New Roman"/>
          <w:snapToGrid/>
          <w:color w:val="000000"/>
          <w:sz w:val="28"/>
          <w:szCs w:val="28"/>
          <w:vertAlign w:val="baseline"/>
        </w:rPr>
      </w:pPr>
    </w:p>
    <w:p w14:paraId="02A6A73C" w14:textId="4E6A6D95" w:rsidR="00A00C80" w:rsidRDefault="00A00C80" w:rsidP="002C42C1">
      <w:pPr>
        <w:spacing w:line="480" w:lineRule="auto"/>
        <w:ind w:firstLine="720"/>
        <w:jc w:val="both"/>
        <w:rPr>
          <w:rFonts w:eastAsia="Times New Roman"/>
          <w:snapToGrid/>
          <w:color w:val="000000"/>
          <w:sz w:val="28"/>
          <w:szCs w:val="28"/>
          <w:vertAlign w:val="baseline"/>
        </w:rPr>
      </w:pPr>
    </w:p>
    <w:p w14:paraId="63FABD3A" w14:textId="253A5195" w:rsidR="00A00C80" w:rsidRDefault="00A00C80" w:rsidP="002C42C1">
      <w:pPr>
        <w:spacing w:line="480" w:lineRule="auto"/>
        <w:ind w:firstLine="720"/>
        <w:jc w:val="both"/>
        <w:rPr>
          <w:rFonts w:eastAsia="Times New Roman"/>
          <w:snapToGrid/>
          <w:color w:val="000000"/>
          <w:sz w:val="28"/>
          <w:szCs w:val="28"/>
          <w:vertAlign w:val="baseline"/>
        </w:rPr>
      </w:pPr>
    </w:p>
    <w:p w14:paraId="4958901A" w14:textId="659D2084" w:rsidR="00A00C80" w:rsidRDefault="00A00C80" w:rsidP="002C42C1">
      <w:pPr>
        <w:spacing w:line="480" w:lineRule="auto"/>
        <w:ind w:firstLine="720"/>
        <w:jc w:val="both"/>
        <w:rPr>
          <w:rFonts w:eastAsia="Times New Roman"/>
          <w:snapToGrid/>
          <w:color w:val="000000"/>
          <w:sz w:val="28"/>
          <w:szCs w:val="28"/>
          <w:vertAlign w:val="baseline"/>
        </w:rPr>
      </w:pPr>
    </w:p>
    <w:p w14:paraId="57F55772" w14:textId="77777777" w:rsidR="00A00C80" w:rsidRDefault="00A00C80" w:rsidP="002C42C1">
      <w:pPr>
        <w:spacing w:line="480" w:lineRule="auto"/>
        <w:ind w:firstLine="720"/>
        <w:jc w:val="both"/>
        <w:rPr>
          <w:rFonts w:eastAsia="Times New Roman"/>
          <w:snapToGrid/>
          <w:color w:val="000000"/>
          <w:sz w:val="28"/>
          <w:szCs w:val="28"/>
          <w:vertAlign w:val="baseline"/>
        </w:rPr>
      </w:pPr>
    </w:p>
    <w:p w14:paraId="7402A7F1" w14:textId="11BE1535" w:rsidR="00987E39" w:rsidRDefault="002C42C1" w:rsidP="002C42C1">
      <w:pPr>
        <w:spacing w:line="480" w:lineRule="auto"/>
        <w:ind w:firstLine="720"/>
        <w:jc w:val="center"/>
        <w:rPr>
          <w:rFonts w:eastAsia="Times New Roman"/>
          <w:snapToGrid/>
          <w:color w:val="000000"/>
          <w:sz w:val="28"/>
          <w:szCs w:val="28"/>
          <w:vertAlign w:val="baseline"/>
        </w:rPr>
      </w:pPr>
      <w:r>
        <w:rPr>
          <w:rFonts w:eastAsia="Times New Roman"/>
          <w:snapToGrid/>
          <w:color w:val="000000"/>
          <w:sz w:val="28"/>
          <w:szCs w:val="28"/>
          <w:vertAlign w:val="baseline"/>
        </w:rPr>
        <w:lastRenderedPageBreak/>
        <w:br/>
      </w:r>
      <w:r w:rsidRPr="002C42C1">
        <w:rPr>
          <w:rFonts w:eastAsia="Times New Roman"/>
          <w:b/>
          <w:bCs/>
          <w:snapToGrid/>
          <w:color w:val="000000"/>
          <w:sz w:val="28"/>
          <w:szCs w:val="28"/>
          <w:vertAlign w:val="baseline"/>
        </w:rPr>
        <w:t>III.  CONCLUSION</w:t>
      </w:r>
    </w:p>
    <w:p w14:paraId="146F25F2" w14:textId="16906986" w:rsidR="002C42C1" w:rsidRDefault="002C42C1" w:rsidP="002C42C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Central AZ NLG objects to the continued operation of early disposition courts in the few counties where they exist.  However, the proposed amendment to Rule 15.8</w:t>
      </w:r>
      <w:r w:rsidR="00093698">
        <w:rPr>
          <w:rFonts w:eastAsia="Times New Roman"/>
          <w:snapToGrid/>
          <w:color w:val="000000"/>
          <w:sz w:val="28"/>
          <w:szCs w:val="28"/>
          <w:vertAlign w:val="baseline"/>
        </w:rPr>
        <w:t xml:space="preserve"> (a) </w:t>
      </w:r>
      <w:r>
        <w:rPr>
          <w:rFonts w:eastAsia="Times New Roman"/>
          <w:snapToGrid/>
          <w:color w:val="000000"/>
          <w:sz w:val="28"/>
          <w:szCs w:val="28"/>
          <w:vertAlign w:val="baseline"/>
        </w:rPr>
        <w:t xml:space="preserve"> is a step in the right direction of ensuring the constitutional rights of the accused are protected in all criminal proceedings. Accordingly, Central AZ NLG supports the proposed amendment to Rule 15.8 of the Arizona Rules of Criminal Procedure. </w:t>
      </w:r>
    </w:p>
    <w:p w14:paraId="3CA36DD3" w14:textId="30582780" w:rsidR="002C42C1" w:rsidRPr="00D32E50" w:rsidRDefault="002C42C1" w:rsidP="002C42C1">
      <w:pPr>
        <w:spacing w:line="480" w:lineRule="auto"/>
        <w:ind w:firstLine="720"/>
        <w:jc w:val="both"/>
        <w:rPr>
          <w:rFonts w:eastAsia="Times New Roman"/>
          <w:snapToGrid/>
          <w:color w:val="000000"/>
          <w:sz w:val="28"/>
          <w:szCs w:val="28"/>
          <w:vertAlign w:val="baseline"/>
        </w:rPr>
      </w:pPr>
      <w:r>
        <w:rPr>
          <w:rFonts w:eastAsia="Times New Roman"/>
          <w:snapToGrid/>
          <w:color w:val="000000"/>
          <w:sz w:val="28"/>
          <w:szCs w:val="28"/>
          <w:vertAlign w:val="baseline"/>
        </w:rPr>
        <w:t>In addition to approving the proposed amendment to Rule 15.8</w:t>
      </w:r>
      <w:r w:rsidR="00093698">
        <w:rPr>
          <w:rFonts w:eastAsia="Times New Roman"/>
          <w:snapToGrid/>
          <w:color w:val="000000"/>
          <w:sz w:val="28"/>
          <w:szCs w:val="28"/>
          <w:vertAlign w:val="baseline"/>
        </w:rPr>
        <w:t xml:space="preserve"> (a)</w:t>
      </w:r>
      <w:r>
        <w:rPr>
          <w:rFonts w:eastAsia="Times New Roman"/>
          <w:snapToGrid/>
          <w:color w:val="000000"/>
          <w:sz w:val="28"/>
          <w:szCs w:val="28"/>
          <w:vertAlign w:val="baseline"/>
        </w:rPr>
        <w:t xml:space="preserve">, this Court should require the counties currently operating early disposition courts outside the confines of this Court’s rules to submit proposed local rules so that this Court may exercise its constitutional rulemaking authority and decide whether to endorse a practice that has been openly operating in the shadows of this Court’s rules for too long. </w:t>
      </w:r>
      <w:r w:rsidR="00093698">
        <w:rPr>
          <w:rFonts w:eastAsia="Times New Roman"/>
          <w:snapToGrid/>
          <w:color w:val="000000"/>
          <w:sz w:val="28"/>
          <w:szCs w:val="28"/>
          <w:vertAlign w:val="baseline"/>
        </w:rPr>
        <w:t xml:space="preserve"> </w:t>
      </w:r>
    </w:p>
    <w:p w14:paraId="42869E1A" w14:textId="6B955B83" w:rsidR="00515835" w:rsidRPr="00987E39" w:rsidRDefault="00515835" w:rsidP="00987E39">
      <w:pPr>
        <w:spacing w:line="480" w:lineRule="auto"/>
        <w:ind w:firstLine="720"/>
        <w:rPr>
          <w:rFonts w:eastAsia="Times New Roman"/>
          <w:snapToGrid/>
          <w:sz w:val="28"/>
          <w:szCs w:val="28"/>
          <w:vertAlign w:val="baseline"/>
          <w:lang w:eastAsia="x-none"/>
        </w:rPr>
      </w:pPr>
    </w:p>
    <w:p w14:paraId="00AFCC7F" w14:textId="77777777" w:rsidR="00C56326" w:rsidRPr="00D43609" w:rsidRDefault="00C56326" w:rsidP="00C56326">
      <w:pPr>
        <w:ind w:left="720" w:right="58"/>
        <w:rPr>
          <w:rFonts w:eastAsia="Times New Roman"/>
          <w:snapToGrid/>
          <w:sz w:val="28"/>
          <w:szCs w:val="28"/>
          <w:vertAlign w:val="baseline"/>
          <w:lang w:eastAsia="x-none"/>
        </w:rPr>
      </w:pPr>
    </w:p>
    <w:p w14:paraId="42E4D41E" w14:textId="62360CA2" w:rsidR="00126B34" w:rsidRPr="00D43609" w:rsidRDefault="00126B34" w:rsidP="00093698">
      <w:pPr>
        <w:ind w:left="2160" w:right="58" w:firstLine="720"/>
        <w:jc w:val="both"/>
        <w:rPr>
          <w:rFonts w:eastAsia="Times New Roman"/>
          <w:snapToGrid/>
          <w:sz w:val="28"/>
          <w:szCs w:val="28"/>
          <w:vertAlign w:val="baseline"/>
          <w:lang w:eastAsia="x-none"/>
        </w:rPr>
      </w:pPr>
      <w:r w:rsidRPr="00D43609">
        <w:rPr>
          <w:rFonts w:eastAsia="Times New Roman"/>
          <w:snapToGrid/>
          <w:sz w:val="28"/>
          <w:szCs w:val="28"/>
          <w:vertAlign w:val="baseline"/>
          <w:lang w:eastAsia="x-none"/>
        </w:rPr>
        <w:t>Respectfully submitted</w:t>
      </w:r>
      <w:r w:rsidR="005E6116" w:rsidRPr="00D43609">
        <w:rPr>
          <w:rFonts w:eastAsia="Times New Roman"/>
          <w:snapToGrid/>
          <w:sz w:val="28"/>
          <w:szCs w:val="28"/>
          <w:vertAlign w:val="baseline"/>
          <w:lang w:eastAsia="x-none"/>
        </w:rPr>
        <w:t xml:space="preserve"> </w:t>
      </w:r>
      <w:r w:rsidR="00A00C80">
        <w:rPr>
          <w:rFonts w:eastAsia="Times New Roman"/>
          <w:snapToGrid/>
          <w:sz w:val="28"/>
          <w:szCs w:val="28"/>
          <w:vertAlign w:val="baseline"/>
          <w:lang w:eastAsia="x-none"/>
        </w:rPr>
        <w:t>May 01</w:t>
      </w:r>
      <w:r w:rsidRPr="00D43609">
        <w:rPr>
          <w:rFonts w:eastAsia="Times New Roman"/>
          <w:snapToGrid/>
          <w:sz w:val="28"/>
          <w:szCs w:val="28"/>
          <w:vertAlign w:val="baseline"/>
          <w:lang w:eastAsia="x-none"/>
        </w:rPr>
        <w:t>, 202</w:t>
      </w:r>
      <w:r w:rsidR="00D554A4">
        <w:rPr>
          <w:rFonts w:eastAsia="Times New Roman"/>
          <w:snapToGrid/>
          <w:sz w:val="28"/>
          <w:szCs w:val="28"/>
          <w:vertAlign w:val="baseline"/>
          <w:lang w:eastAsia="x-none"/>
        </w:rPr>
        <w:t>2</w:t>
      </w:r>
      <w:r w:rsidRPr="00D43609">
        <w:rPr>
          <w:rFonts w:eastAsia="Times New Roman"/>
          <w:snapToGrid/>
          <w:sz w:val="28"/>
          <w:szCs w:val="28"/>
          <w:vertAlign w:val="baseline"/>
          <w:lang w:eastAsia="x-none"/>
        </w:rPr>
        <w:t>.</w:t>
      </w:r>
    </w:p>
    <w:p w14:paraId="5FAA60EF" w14:textId="77777777" w:rsidR="0016027E" w:rsidRPr="00D43609" w:rsidRDefault="0016027E" w:rsidP="00093698">
      <w:pPr>
        <w:ind w:right="58"/>
        <w:jc w:val="both"/>
        <w:rPr>
          <w:rFonts w:eastAsia="Times New Roman"/>
          <w:snapToGrid/>
          <w:sz w:val="28"/>
          <w:szCs w:val="28"/>
          <w:vertAlign w:val="baseline"/>
          <w:lang w:eastAsia="x-none"/>
        </w:rPr>
      </w:pPr>
    </w:p>
    <w:p w14:paraId="26558917" w14:textId="77777777" w:rsidR="008A7C7A" w:rsidRPr="00D43609" w:rsidRDefault="008A7C7A" w:rsidP="00093698">
      <w:pPr>
        <w:ind w:right="58"/>
        <w:jc w:val="both"/>
        <w:rPr>
          <w:rFonts w:eastAsia="Times New Roman"/>
          <w:snapToGrid/>
          <w:sz w:val="28"/>
          <w:szCs w:val="28"/>
          <w:vertAlign w:val="baseline"/>
          <w:lang w:eastAsia="x-none"/>
        </w:rPr>
      </w:pPr>
    </w:p>
    <w:p w14:paraId="3A791025" w14:textId="77777777" w:rsidR="008A7C7A" w:rsidRPr="00A00C80" w:rsidRDefault="0016027E" w:rsidP="00093698">
      <w:pPr>
        <w:ind w:left="2160" w:right="58"/>
        <w:jc w:val="both"/>
        <w:rPr>
          <w:rFonts w:eastAsia="Times New Roman"/>
          <w:b/>
          <w:bCs/>
          <w:snapToGrid/>
          <w:sz w:val="28"/>
          <w:szCs w:val="28"/>
          <w:vertAlign w:val="baseline"/>
          <w:lang w:eastAsia="x-none"/>
        </w:rPr>
      </w:pPr>
      <w:r w:rsidRPr="00A00C80">
        <w:rPr>
          <w:rFonts w:eastAsia="Times New Roman"/>
          <w:b/>
          <w:bCs/>
          <w:snapToGrid/>
          <w:sz w:val="28"/>
          <w:szCs w:val="28"/>
          <w:vertAlign w:val="baseline"/>
          <w:lang w:eastAsia="x-none"/>
        </w:rPr>
        <w:t xml:space="preserve">CENTRAL ARIZONA NATIONAL LAWYERS GUILD </w:t>
      </w:r>
    </w:p>
    <w:p w14:paraId="516D3EA5" w14:textId="77777777" w:rsidR="0016027E" w:rsidRPr="00A00C80" w:rsidRDefault="0016027E" w:rsidP="00093698">
      <w:pPr>
        <w:widowControl w:val="0"/>
        <w:tabs>
          <w:tab w:val="left" w:pos="0"/>
          <w:tab w:val="left" w:pos="720"/>
        </w:tabs>
        <w:jc w:val="both"/>
        <w:rPr>
          <w:rFonts w:eastAsia="Times New Roman"/>
          <w:b/>
          <w:bCs/>
          <w:snapToGrid/>
          <w:sz w:val="28"/>
          <w:szCs w:val="28"/>
          <w:vertAlign w:val="baseline"/>
          <w:lang w:eastAsia="x-none"/>
        </w:rPr>
      </w:pPr>
    </w:p>
    <w:p w14:paraId="50C35186" w14:textId="53BA270E" w:rsidR="00D43609" w:rsidRPr="00872B97" w:rsidRDefault="00126B34" w:rsidP="00093698">
      <w:pPr>
        <w:widowControl w:val="0"/>
        <w:tabs>
          <w:tab w:val="left" w:pos="0"/>
          <w:tab w:val="left" w:pos="720"/>
        </w:tabs>
        <w:jc w:val="both"/>
        <w:rPr>
          <w:rFonts w:eastAsia="Times New Roman"/>
          <w:i/>
          <w:snapToGrid/>
          <w:position w:val="-5"/>
          <w:sz w:val="28"/>
          <w:szCs w:val="28"/>
          <w:u w:val="single"/>
          <w:vertAlign w:val="baseline"/>
        </w:rPr>
      </w:pPr>
      <w:r w:rsidRPr="00872B97">
        <w:rPr>
          <w:rFonts w:eastAsia="Times New Roman"/>
          <w:snapToGrid/>
          <w:sz w:val="28"/>
          <w:szCs w:val="28"/>
          <w:vertAlign w:val="baseline"/>
        </w:rPr>
        <w:tab/>
      </w:r>
      <w:r w:rsidRPr="00872B97">
        <w:rPr>
          <w:rFonts w:eastAsia="Times New Roman"/>
          <w:snapToGrid/>
          <w:sz w:val="28"/>
          <w:szCs w:val="28"/>
          <w:vertAlign w:val="baseline"/>
        </w:rPr>
        <w:tab/>
      </w:r>
      <w:r w:rsidRPr="00872B97">
        <w:rPr>
          <w:rFonts w:eastAsia="Times New Roman"/>
          <w:snapToGrid/>
          <w:sz w:val="28"/>
          <w:szCs w:val="28"/>
          <w:vertAlign w:val="baseline"/>
        </w:rPr>
        <w:tab/>
      </w:r>
      <w:r w:rsidRPr="00872B97">
        <w:rPr>
          <w:rFonts w:eastAsia="Times New Roman"/>
          <w:snapToGrid/>
          <w:sz w:val="28"/>
          <w:szCs w:val="28"/>
          <w:vertAlign w:val="baseline"/>
        </w:rPr>
        <w:tab/>
        <w:t xml:space="preserve">   </w:t>
      </w:r>
      <w:r w:rsidRPr="00872B97">
        <w:rPr>
          <w:rFonts w:eastAsia="Times New Roman"/>
          <w:snapToGrid/>
          <w:position w:val="-5"/>
          <w:sz w:val="28"/>
          <w:szCs w:val="28"/>
          <w:vertAlign w:val="baseline"/>
        </w:rPr>
        <w:t>BY: /s</w:t>
      </w:r>
      <w:r w:rsidR="008A7C7A" w:rsidRPr="00872B97">
        <w:rPr>
          <w:rFonts w:eastAsia="Times New Roman"/>
          <w:snapToGrid/>
          <w:position w:val="-5"/>
          <w:sz w:val="28"/>
          <w:szCs w:val="28"/>
          <w:vertAlign w:val="baseline"/>
        </w:rPr>
        <w:t>/</w:t>
      </w:r>
      <w:r w:rsidR="005B061F" w:rsidRPr="00872B97">
        <w:rPr>
          <w:rFonts w:eastAsia="Times New Roman"/>
          <w:snapToGrid/>
          <w:position w:val="-5"/>
          <w:sz w:val="28"/>
          <w:szCs w:val="28"/>
          <w:u w:val="single"/>
          <w:vertAlign w:val="baseline"/>
        </w:rPr>
        <w:t xml:space="preserve">   </w:t>
      </w:r>
      <w:r w:rsidR="00D43609" w:rsidRPr="00872B97">
        <w:rPr>
          <w:rFonts w:eastAsia="Times New Roman"/>
          <w:snapToGrid/>
          <w:position w:val="-5"/>
          <w:sz w:val="28"/>
          <w:szCs w:val="28"/>
          <w:u w:val="single"/>
          <w:vertAlign w:val="baseline"/>
        </w:rPr>
        <w:t xml:space="preserve">    </w:t>
      </w:r>
      <w:r w:rsidR="00B67AE9">
        <w:rPr>
          <w:rFonts w:eastAsia="Times New Roman"/>
          <w:i/>
          <w:snapToGrid/>
          <w:position w:val="-5"/>
          <w:sz w:val="28"/>
          <w:szCs w:val="28"/>
          <w:u w:val="single"/>
          <w:vertAlign w:val="baseline"/>
        </w:rPr>
        <w:t>Kevin D. Heade</w:t>
      </w:r>
      <w:r w:rsidR="00D43609" w:rsidRPr="00872B97">
        <w:rPr>
          <w:rFonts w:eastAsia="Times New Roman"/>
          <w:i/>
          <w:snapToGrid/>
          <w:position w:val="-5"/>
          <w:sz w:val="28"/>
          <w:szCs w:val="28"/>
          <w:u w:val="single"/>
          <w:vertAlign w:val="baseline"/>
        </w:rPr>
        <w:t xml:space="preserve">   </w:t>
      </w:r>
    </w:p>
    <w:p w14:paraId="66033EBC" w14:textId="6A8D7E4F" w:rsidR="008441D5" w:rsidRPr="00872B97" w:rsidRDefault="00872B97" w:rsidP="00093698">
      <w:pPr>
        <w:jc w:val="both"/>
        <w:rPr>
          <w:sz w:val="28"/>
          <w:szCs w:val="28"/>
          <w:vertAlign w:val="baseline"/>
        </w:rPr>
      </w:pP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r>
      <w:r w:rsidRPr="00872B97">
        <w:rPr>
          <w:sz w:val="28"/>
          <w:szCs w:val="28"/>
          <w:vertAlign w:val="baseline"/>
        </w:rPr>
        <w:tab/>
      </w:r>
      <w:r w:rsidR="00B67AE9">
        <w:rPr>
          <w:sz w:val="28"/>
          <w:szCs w:val="28"/>
          <w:vertAlign w:val="baseline"/>
        </w:rPr>
        <w:t>KEVIN D. HEADE</w:t>
      </w:r>
    </w:p>
    <w:sectPr w:rsidR="008441D5" w:rsidRPr="00872B9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788B7" w14:textId="77777777" w:rsidR="005244BA" w:rsidRDefault="005244BA" w:rsidP="008F33E5">
      <w:r>
        <w:separator/>
      </w:r>
    </w:p>
  </w:endnote>
  <w:endnote w:type="continuationSeparator" w:id="0">
    <w:p w14:paraId="0CDB90A2" w14:textId="77777777" w:rsidR="005244BA" w:rsidRDefault="005244BA" w:rsidP="008F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058775"/>
      <w:docPartObj>
        <w:docPartGallery w:val="Page Numbers (Bottom of Page)"/>
        <w:docPartUnique/>
      </w:docPartObj>
    </w:sdtPr>
    <w:sdtEndPr>
      <w:rPr>
        <w:noProof/>
      </w:rPr>
    </w:sdtEndPr>
    <w:sdtContent>
      <w:p w14:paraId="4BB02639" w14:textId="77777777" w:rsidR="008F33E5" w:rsidRDefault="008F33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B72B5A" w14:textId="77777777" w:rsidR="008F33E5" w:rsidRDefault="008F3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901E2" w14:textId="77777777" w:rsidR="005244BA" w:rsidRDefault="005244BA" w:rsidP="008F33E5">
      <w:r>
        <w:separator/>
      </w:r>
    </w:p>
  </w:footnote>
  <w:footnote w:type="continuationSeparator" w:id="0">
    <w:p w14:paraId="7AC7B6E6" w14:textId="77777777" w:rsidR="005244BA" w:rsidRDefault="005244BA" w:rsidP="008F3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3483"/>
    <w:multiLevelType w:val="hybridMultilevel"/>
    <w:tmpl w:val="F9969FBE"/>
    <w:lvl w:ilvl="0" w:tplc="A238C8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37341D"/>
    <w:multiLevelType w:val="hybridMultilevel"/>
    <w:tmpl w:val="5E344F0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BAD207D"/>
    <w:multiLevelType w:val="hybridMultilevel"/>
    <w:tmpl w:val="93408892"/>
    <w:lvl w:ilvl="0" w:tplc="39C6EE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6D14D92"/>
    <w:multiLevelType w:val="hybridMultilevel"/>
    <w:tmpl w:val="F11C3E40"/>
    <w:lvl w:ilvl="0" w:tplc="76E2553A">
      <w:start w:val="1"/>
      <w:numFmt w:val="upp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374C57"/>
    <w:multiLevelType w:val="hybridMultilevel"/>
    <w:tmpl w:val="A70882EE"/>
    <w:lvl w:ilvl="0" w:tplc="5024C61C">
      <w:start w:val="1"/>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825D1E"/>
    <w:multiLevelType w:val="hybridMultilevel"/>
    <w:tmpl w:val="03E00E6E"/>
    <w:lvl w:ilvl="0" w:tplc="97AC4E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6F9395D"/>
    <w:multiLevelType w:val="hybridMultilevel"/>
    <w:tmpl w:val="DA36FD0A"/>
    <w:lvl w:ilvl="0" w:tplc="FBFA3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34"/>
    <w:rsid w:val="00014475"/>
    <w:rsid w:val="00016B41"/>
    <w:rsid w:val="000230B4"/>
    <w:rsid w:val="00024883"/>
    <w:rsid w:val="00032364"/>
    <w:rsid w:val="00050E71"/>
    <w:rsid w:val="0006031B"/>
    <w:rsid w:val="00075D82"/>
    <w:rsid w:val="00075E4C"/>
    <w:rsid w:val="0007706A"/>
    <w:rsid w:val="00077704"/>
    <w:rsid w:val="00093698"/>
    <w:rsid w:val="000952EA"/>
    <w:rsid w:val="0009545B"/>
    <w:rsid w:val="000A1FE2"/>
    <w:rsid w:val="000B735C"/>
    <w:rsid w:val="000C5563"/>
    <w:rsid w:val="000D213B"/>
    <w:rsid w:val="000E3060"/>
    <w:rsid w:val="000F0A9B"/>
    <w:rsid w:val="000F108F"/>
    <w:rsid w:val="000F16D4"/>
    <w:rsid w:val="000F5DEC"/>
    <w:rsid w:val="00110BE9"/>
    <w:rsid w:val="00114F14"/>
    <w:rsid w:val="00126B34"/>
    <w:rsid w:val="00154275"/>
    <w:rsid w:val="0016027E"/>
    <w:rsid w:val="001840F7"/>
    <w:rsid w:val="00193591"/>
    <w:rsid w:val="00197E19"/>
    <w:rsid w:val="001A130F"/>
    <w:rsid w:val="001A2597"/>
    <w:rsid w:val="001B4BB3"/>
    <w:rsid w:val="001E0BE2"/>
    <w:rsid w:val="001E2EBB"/>
    <w:rsid w:val="001E30E8"/>
    <w:rsid w:val="001F4818"/>
    <w:rsid w:val="001F6616"/>
    <w:rsid w:val="0020218D"/>
    <w:rsid w:val="00203EB6"/>
    <w:rsid w:val="00207E86"/>
    <w:rsid w:val="0023118F"/>
    <w:rsid w:val="002312C7"/>
    <w:rsid w:val="00251079"/>
    <w:rsid w:val="002551DA"/>
    <w:rsid w:val="00256D6A"/>
    <w:rsid w:val="0026030E"/>
    <w:rsid w:val="00261AA5"/>
    <w:rsid w:val="00265A1C"/>
    <w:rsid w:val="00275714"/>
    <w:rsid w:val="0029555F"/>
    <w:rsid w:val="002A6EF7"/>
    <w:rsid w:val="002C41F6"/>
    <w:rsid w:val="002C42C1"/>
    <w:rsid w:val="002C63AB"/>
    <w:rsid w:val="002D4285"/>
    <w:rsid w:val="002E3754"/>
    <w:rsid w:val="002F380F"/>
    <w:rsid w:val="002F75C5"/>
    <w:rsid w:val="003073F3"/>
    <w:rsid w:val="003142E4"/>
    <w:rsid w:val="00321F37"/>
    <w:rsid w:val="00324DB9"/>
    <w:rsid w:val="003324C6"/>
    <w:rsid w:val="00335113"/>
    <w:rsid w:val="003351C6"/>
    <w:rsid w:val="00341981"/>
    <w:rsid w:val="0034543A"/>
    <w:rsid w:val="00345C3C"/>
    <w:rsid w:val="0034601D"/>
    <w:rsid w:val="00351170"/>
    <w:rsid w:val="00387553"/>
    <w:rsid w:val="003A5D00"/>
    <w:rsid w:val="003A5DD6"/>
    <w:rsid w:val="003C7810"/>
    <w:rsid w:val="003D4B4C"/>
    <w:rsid w:val="003E686C"/>
    <w:rsid w:val="003F5835"/>
    <w:rsid w:val="004032A2"/>
    <w:rsid w:val="0040729A"/>
    <w:rsid w:val="00425A05"/>
    <w:rsid w:val="00445581"/>
    <w:rsid w:val="00446320"/>
    <w:rsid w:val="0045133C"/>
    <w:rsid w:val="00462E1C"/>
    <w:rsid w:val="00466C82"/>
    <w:rsid w:val="004715A4"/>
    <w:rsid w:val="00493271"/>
    <w:rsid w:val="00496215"/>
    <w:rsid w:val="004B6CE9"/>
    <w:rsid w:val="004C0E72"/>
    <w:rsid w:val="004C5D80"/>
    <w:rsid w:val="004D204A"/>
    <w:rsid w:val="004E6B1C"/>
    <w:rsid w:val="004E7485"/>
    <w:rsid w:val="004F5939"/>
    <w:rsid w:val="00510555"/>
    <w:rsid w:val="005134E8"/>
    <w:rsid w:val="00515835"/>
    <w:rsid w:val="005225D8"/>
    <w:rsid w:val="005244BA"/>
    <w:rsid w:val="00526717"/>
    <w:rsid w:val="00527715"/>
    <w:rsid w:val="005422EC"/>
    <w:rsid w:val="005459C8"/>
    <w:rsid w:val="00547064"/>
    <w:rsid w:val="005501A6"/>
    <w:rsid w:val="00561E2F"/>
    <w:rsid w:val="005722A8"/>
    <w:rsid w:val="005A69E8"/>
    <w:rsid w:val="005B061F"/>
    <w:rsid w:val="005B340B"/>
    <w:rsid w:val="005B7969"/>
    <w:rsid w:val="005C5F37"/>
    <w:rsid w:val="005D2D78"/>
    <w:rsid w:val="005E6116"/>
    <w:rsid w:val="005F7692"/>
    <w:rsid w:val="00602949"/>
    <w:rsid w:val="00607F88"/>
    <w:rsid w:val="006151CA"/>
    <w:rsid w:val="00620C35"/>
    <w:rsid w:val="006368D4"/>
    <w:rsid w:val="0064413D"/>
    <w:rsid w:val="006477E8"/>
    <w:rsid w:val="00667404"/>
    <w:rsid w:val="00670967"/>
    <w:rsid w:val="006716A6"/>
    <w:rsid w:val="00672C77"/>
    <w:rsid w:val="00681D75"/>
    <w:rsid w:val="00694CCB"/>
    <w:rsid w:val="00694D02"/>
    <w:rsid w:val="00695B2B"/>
    <w:rsid w:val="006A6ACB"/>
    <w:rsid w:val="006B1908"/>
    <w:rsid w:val="006D0B50"/>
    <w:rsid w:val="006E0D72"/>
    <w:rsid w:val="006E1DB6"/>
    <w:rsid w:val="006F788F"/>
    <w:rsid w:val="007009AE"/>
    <w:rsid w:val="00722B90"/>
    <w:rsid w:val="00723F67"/>
    <w:rsid w:val="00724465"/>
    <w:rsid w:val="0074002E"/>
    <w:rsid w:val="007455E9"/>
    <w:rsid w:val="00750243"/>
    <w:rsid w:val="00751B5B"/>
    <w:rsid w:val="0076037F"/>
    <w:rsid w:val="007640CB"/>
    <w:rsid w:val="00764271"/>
    <w:rsid w:val="0078489D"/>
    <w:rsid w:val="00793F08"/>
    <w:rsid w:val="007B1659"/>
    <w:rsid w:val="007B169A"/>
    <w:rsid w:val="007C211F"/>
    <w:rsid w:val="007D46FC"/>
    <w:rsid w:val="007D72F8"/>
    <w:rsid w:val="007E691A"/>
    <w:rsid w:val="007F0490"/>
    <w:rsid w:val="008074E1"/>
    <w:rsid w:val="0081006F"/>
    <w:rsid w:val="00816A46"/>
    <w:rsid w:val="0082302E"/>
    <w:rsid w:val="00833324"/>
    <w:rsid w:val="008441D5"/>
    <w:rsid w:val="00844E1D"/>
    <w:rsid w:val="00845EF6"/>
    <w:rsid w:val="00861729"/>
    <w:rsid w:val="0086232B"/>
    <w:rsid w:val="00864066"/>
    <w:rsid w:val="00865AD1"/>
    <w:rsid w:val="00872B97"/>
    <w:rsid w:val="0088380C"/>
    <w:rsid w:val="00884396"/>
    <w:rsid w:val="00886EB1"/>
    <w:rsid w:val="0089228B"/>
    <w:rsid w:val="008A220C"/>
    <w:rsid w:val="008A7C7A"/>
    <w:rsid w:val="008B080C"/>
    <w:rsid w:val="008D03BD"/>
    <w:rsid w:val="008D1539"/>
    <w:rsid w:val="008D16DC"/>
    <w:rsid w:val="008D1F74"/>
    <w:rsid w:val="008E0CE5"/>
    <w:rsid w:val="008E1F12"/>
    <w:rsid w:val="008E3838"/>
    <w:rsid w:val="008F33E5"/>
    <w:rsid w:val="00913747"/>
    <w:rsid w:val="00947511"/>
    <w:rsid w:val="00954E1C"/>
    <w:rsid w:val="00970121"/>
    <w:rsid w:val="009738E8"/>
    <w:rsid w:val="00985D0A"/>
    <w:rsid w:val="00987E39"/>
    <w:rsid w:val="009B1503"/>
    <w:rsid w:val="009B5287"/>
    <w:rsid w:val="009B58FD"/>
    <w:rsid w:val="009B5C0E"/>
    <w:rsid w:val="009C2701"/>
    <w:rsid w:val="009C5E9F"/>
    <w:rsid w:val="009D68BF"/>
    <w:rsid w:val="009F1FCF"/>
    <w:rsid w:val="009F3AB7"/>
    <w:rsid w:val="009F3B4F"/>
    <w:rsid w:val="00A00C80"/>
    <w:rsid w:val="00A1632B"/>
    <w:rsid w:val="00A504E9"/>
    <w:rsid w:val="00A60EFC"/>
    <w:rsid w:val="00A7286F"/>
    <w:rsid w:val="00A73F10"/>
    <w:rsid w:val="00A93D35"/>
    <w:rsid w:val="00AA0F62"/>
    <w:rsid w:val="00AC1EE6"/>
    <w:rsid w:val="00AC7928"/>
    <w:rsid w:val="00AD42D3"/>
    <w:rsid w:val="00AE11BE"/>
    <w:rsid w:val="00AE1D62"/>
    <w:rsid w:val="00AF123A"/>
    <w:rsid w:val="00B033F1"/>
    <w:rsid w:val="00B0429B"/>
    <w:rsid w:val="00B04DA4"/>
    <w:rsid w:val="00B06110"/>
    <w:rsid w:val="00B0646B"/>
    <w:rsid w:val="00B06ECD"/>
    <w:rsid w:val="00B1330E"/>
    <w:rsid w:val="00B2181D"/>
    <w:rsid w:val="00B25059"/>
    <w:rsid w:val="00B35357"/>
    <w:rsid w:val="00B43013"/>
    <w:rsid w:val="00B50A58"/>
    <w:rsid w:val="00B54585"/>
    <w:rsid w:val="00B57727"/>
    <w:rsid w:val="00B67AE9"/>
    <w:rsid w:val="00B82598"/>
    <w:rsid w:val="00B872CD"/>
    <w:rsid w:val="00B87B3C"/>
    <w:rsid w:val="00B87DF5"/>
    <w:rsid w:val="00BA15F4"/>
    <w:rsid w:val="00BA63C9"/>
    <w:rsid w:val="00BA7BC1"/>
    <w:rsid w:val="00BC0FE4"/>
    <w:rsid w:val="00BC7231"/>
    <w:rsid w:val="00BE0C24"/>
    <w:rsid w:val="00BE1AEF"/>
    <w:rsid w:val="00BF76DF"/>
    <w:rsid w:val="00C01593"/>
    <w:rsid w:val="00C1284B"/>
    <w:rsid w:val="00C14899"/>
    <w:rsid w:val="00C22454"/>
    <w:rsid w:val="00C348E8"/>
    <w:rsid w:val="00C35DE4"/>
    <w:rsid w:val="00C40F63"/>
    <w:rsid w:val="00C56326"/>
    <w:rsid w:val="00C75FB1"/>
    <w:rsid w:val="00C81CD4"/>
    <w:rsid w:val="00CA1230"/>
    <w:rsid w:val="00CA743A"/>
    <w:rsid w:val="00CA7E66"/>
    <w:rsid w:val="00CB69B0"/>
    <w:rsid w:val="00CB7CB9"/>
    <w:rsid w:val="00CC124A"/>
    <w:rsid w:val="00CC2A0F"/>
    <w:rsid w:val="00CC40C1"/>
    <w:rsid w:val="00CC4590"/>
    <w:rsid w:val="00CC6B86"/>
    <w:rsid w:val="00CD43CD"/>
    <w:rsid w:val="00CD6460"/>
    <w:rsid w:val="00CE5482"/>
    <w:rsid w:val="00CE6B1F"/>
    <w:rsid w:val="00CF56FE"/>
    <w:rsid w:val="00CF6524"/>
    <w:rsid w:val="00D257DB"/>
    <w:rsid w:val="00D32E50"/>
    <w:rsid w:val="00D3647D"/>
    <w:rsid w:val="00D43609"/>
    <w:rsid w:val="00D45E1B"/>
    <w:rsid w:val="00D554A4"/>
    <w:rsid w:val="00D56347"/>
    <w:rsid w:val="00D63DD8"/>
    <w:rsid w:val="00D63E5A"/>
    <w:rsid w:val="00D94896"/>
    <w:rsid w:val="00D95179"/>
    <w:rsid w:val="00DA3855"/>
    <w:rsid w:val="00DB3594"/>
    <w:rsid w:val="00DC53F2"/>
    <w:rsid w:val="00DD161A"/>
    <w:rsid w:val="00DE538D"/>
    <w:rsid w:val="00DF4A92"/>
    <w:rsid w:val="00E10B29"/>
    <w:rsid w:val="00E11CFA"/>
    <w:rsid w:val="00E1675C"/>
    <w:rsid w:val="00E1716A"/>
    <w:rsid w:val="00E2180F"/>
    <w:rsid w:val="00E377AA"/>
    <w:rsid w:val="00E55C96"/>
    <w:rsid w:val="00E5776A"/>
    <w:rsid w:val="00E854F1"/>
    <w:rsid w:val="00E9035C"/>
    <w:rsid w:val="00E90D01"/>
    <w:rsid w:val="00EB3E05"/>
    <w:rsid w:val="00EC29F0"/>
    <w:rsid w:val="00ED4C2B"/>
    <w:rsid w:val="00EE4641"/>
    <w:rsid w:val="00F06530"/>
    <w:rsid w:val="00F0798E"/>
    <w:rsid w:val="00F2291A"/>
    <w:rsid w:val="00F22E1B"/>
    <w:rsid w:val="00F27AD5"/>
    <w:rsid w:val="00F41F13"/>
    <w:rsid w:val="00F42CF5"/>
    <w:rsid w:val="00F76039"/>
    <w:rsid w:val="00F76E8C"/>
    <w:rsid w:val="00F954D7"/>
    <w:rsid w:val="00FA6E94"/>
    <w:rsid w:val="00FB4AF0"/>
    <w:rsid w:val="00FF0DDE"/>
    <w:rsid w:val="00FF1B7E"/>
    <w:rsid w:val="00FF5866"/>
    <w:rsid w:val="00FF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0372"/>
  <w15:chartTrackingRefBased/>
  <w15:docId w15:val="{CC187271-0E7F-4644-8C98-E7131BC52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napToGrid w:val="0"/>
        <w:vertAlign w:val="superscript"/>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sid w:val="004F5939"/>
    <w:rPr>
      <w:rFonts w:ascii="Times New Roman" w:hAnsi="Times New Roman"/>
      <w:sz w:val="28"/>
      <w:vertAlign w:val="superscript"/>
    </w:rPr>
  </w:style>
  <w:style w:type="paragraph" w:styleId="FootnoteText">
    <w:name w:val="footnote text"/>
    <w:basedOn w:val="Normal"/>
    <w:link w:val="FootnoteTextChar"/>
    <w:qFormat/>
    <w:rsid w:val="001A2597"/>
    <w:pPr>
      <w:widowControl w:val="0"/>
    </w:pPr>
  </w:style>
  <w:style w:type="character" w:customStyle="1" w:styleId="FootnoteTextChar">
    <w:name w:val="Footnote Text Char"/>
    <w:basedOn w:val="DefaultParagraphFont"/>
    <w:link w:val="FootnoteText"/>
    <w:rsid w:val="001A2597"/>
    <w:rPr>
      <w:snapToGrid/>
    </w:rPr>
  </w:style>
  <w:style w:type="character" w:customStyle="1" w:styleId="Style14ptSuperscript">
    <w:name w:val="Style 14 pt Superscript"/>
    <w:basedOn w:val="FootnoteReference"/>
    <w:rsid w:val="001A2597"/>
    <w:rPr>
      <w:rFonts w:ascii="Times New Roman" w:hAnsi="Times New Roman"/>
      <w:sz w:val="28"/>
      <w:vertAlign w:val="superscript"/>
    </w:rPr>
  </w:style>
  <w:style w:type="character" w:customStyle="1" w:styleId="StyleFootnoteReference14ptSuperscript">
    <w:name w:val="Style Footnote Reference + 14 pt Superscript"/>
    <w:basedOn w:val="FootnoteReference"/>
    <w:rsid w:val="001A2597"/>
    <w:rPr>
      <w:rFonts w:ascii="Times New Roman" w:hAnsi="Times New Roman"/>
      <w:sz w:val="28"/>
      <w:vertAlign w:val="superscript"/>
    </w:rPr>
  </w:style>
  <w:style w:type="paragraph" w:styleId="ListParagraph">
    <w:name w:val="List Paragraph"/>
    <w:basedOn w:val="Normal"/>
    <w:uiPriority w:val="34"/>
    <w:qFormat/>
    <w:rsid w:val="008A7C7A"/>
    <w:pPr>
      <w:ind w:left="720"/>
      <w:contextualSpacing/>
    </w:pPr>
  </w:style>
  <w:style w:type="paragraph" w:styleId="Header">
    <w:name w:val="header"/>
    <w:basedOn w:val="Normal"/>
    <w:link w:val="HeaderChar"/>
    <w:uiPriority w:val="99"/>
    <w:unhideWhenUsed/>
    <w:rsid w:val="008F33E5"/>
    <w:pPr>
      <w:tabs>
        <w:tab w:val="center" w:pos="4680"/>
        <w:tab w:val="right" w:pos="9360"/>
      </w:tabs>
    </w:pPr>
  </w:style>
  <w:style w:type="character" w:customStyle="1" w:styleId="HeaderChar">
    <w:name w:val="Header Char"/>
    <w:basedOn w:val="DefaultParagraphFont"/>
    <w:link w:val="Header"/>
    <w:uiPriority w:val="99"/>
    <w:rsid w:val="008F33E5"/>
  </w:style>
  <w:style w:type="paragraph" w:styleId="Footer">
    <w:name w:val="footer"/>
    <w:basedOn w:val="Normal"/>
    <w:link w:val="FooterChar"/>
    <w:uiPriority w:val="99"/>
    <w:unhideWhenUsed/>
    <w:rsid w:val="008F33E5"/>
    <w:pPr>
      <w:tabs>
        <w:tab w:val="center" w:pos="4680"/>
        <w:tab w:val="right" w:pos="9360"/>
      </w:tabs>
    </w:pPr>
  </w:style>
  <w:style w:type="character" w:customStyle="1" w:styleId="FooterChar">
    <w:name w:val="Footer Char"/>
    <w:basedOn w:val="DefaultParagraphFont"/>
    <w:link w:val="Footer"/>
    <w:uiPriority w:val="99"/>
    <w:rsid w:val="008F33E5"/>
  </w:style>
  <w:style w:type="paragraph" w:styleId="NormalWeb">
    <w:name w:val="Normal (Web)"/>
    <w:basedOn w:val="Normal"/>
    <w:uiPriority w:val="99"/>
    <w:semiHidden/>
    <w:unhideWhenUsed/>
    <w:rsid w:val="0016027E"/>
    <w:pPr>
      <w:spacing w:before="100" w:beforeAutospacing="1" w:after="100" w:afterAutospacing="1"/>
    </w:pPr>
    <w:rPr>
      <w:rFonts w:eastAsia="Times New Roman"/>
      <w:snapToGrid/>
      <w:sz w:val="24"/>
      <w:szCs w:val="24"/>
      <w:vertAlign w:val="baseline"/>
    </w:rPr>
  </w:style>
  <w:style w:type="character" w:styleId="Strong">
    <w:name w:val="Strong"/>
    <w:basedOn w:val="DefaultParagraphFont"/>
    <w:uiPriority w:val="22"/>
    <w:qFormat/>
    <w:rsid w:val="0016027E"/>
    <w:rPr>
      <w:b/>
      <w:bCs/>
    </w:rPr>
  </w:style>
  <w:style w:type="character" w:styleId="Hyperlink">
    <w:name w:val="Hyperlink"/>
    <w:basedOn w:val="DefaultParagraphFont"/>
    <w:uiPriority w:val="99"/>
    <w:unhideWhenUsed/>
    <w:rsid w:val="00B1330E"/>
    <w:rPr>
      <w:color w:val="0563C1" w:themeColor="hyperlink"/>
      <w:u w:val="single"/>
    </w:rPr>
  </w:style>
  <w:style w:type="character" w:styleId="UnresolvedMention">
    <w:name w:val="Unresolved Mention"/>
    <w:basedOn w:val="DefaultParagraphFont"/>
    <w:uiPriority w:val="99"/>
    <w:semiHidden/>
    <w:unhideWhenUsed/>
    <w:rsid w:val="00B1330E"/>
    <w:rPr>
      <w:color w:val="605E5C"/>
      <w:shd w:val="clear" w:color="auto" w:fill="E1DFDD"/>
    </w:rPr>
  </w:style>
  <w:style w:type="character" w:styleId="Emphasis">
    <w:name w:val="Emphasis"/>
    <w:basedOn w:val="DefaultParagraphFont"/>
    <w:uiPriority w:val="20"/>
    <w:qFormat/>
    <w:rsid w:val="00F76039"/>
    <w:rPr>
      <w:i/>
      <w:iCs/>
    </w:rPr>
  </w:style>
  <w:style w:type="character" w:customStyle="1" w:styleId="cosmallcaps">
    <w:name w:val="co_smallcaps"/>
    <w:basedOn w:val="DefaultParagraphFont"/>
    <w:rsid w:val="00F76039"/>
  </w:style>
  <w:style w:type="character" w:customStyle="1" w:styleId="coconcept1318">
    <w:name w:val="co_concept_13_18"/>
    <w:basedOn w:val="DefaultParagraphFont"/>
    <w:rsid w:val="008074E1"/>
  </w:style>
  <w:style w:type="character" w:customStyle="1" w:styleId="costarpage">
    <w:name w:val="co_starpage"/>
    <w:basedOn w:val="DefaultParagraphFont"/>
    <w:rsid w:val="008074E1"/>
  </w:style>
  <w:style w:type="character" w:customStyle="1" w:styleId="coconcept18">
    <w:name w:val="co_concept_1_8"/>
    <w:basedOn w:val="DefaultParagraphFont"/>
    <w:rsid w:val="0006031B"/>
  </w:style>
  <w:style w:type="character" w:customStyle="1" w:styleId="coconcept1018">
    <w:name w:val="co_concept_10_18"/>
    <w:basedOn w:val="DefaultParagraphFont"/>
    <w:rsid w:val="0006031B"/>
  </w:style>
  <w:style w:type="character" w:customStyle="1" w:styleId="coconcept2427">
    <w:name w:val="co_concept_24_27"/>
    <w:basedOn w:val="DefaultParagraphFont"/>
    <w:rsid w:val="00060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3644">
      <w:bodyDiv w:val="1"/>
      <w:marLeft w:val="0"/>
      <w:marRight w:val="0"/>
      <w:marTop w:val="0"/>
      <w:marBottom w:val="0"/>
      <w:divBdr>
        <w:top w:val="none" w:sz="0" w:space="0" w:color="auto"/>
        <w:left w:val="none" w:sz="0" w:space="0" w:color="auto"/>
        <w:bottom w:val="none" w:sz="0" w:space="0" w:color="auto"/>
        <w:right w:val="none" w:sz="0" w:space="0" w:color="auto"/>
      </w:divBdr>
      <w:divsChild>
        <w:div w:id="2094935133">
          <w:marLeft w:val="0"/>
          <w:marRight w:val="0"/>
          <w:marTop w:val="0"/>
          <w:marBottom w:val="0"/>
          <w:divBdr>
            <w:top w:val="none" w:sz="0" w:space="0" w:color="auto"/>
            <w:left w:val="none" w:sz="0" w:space="0" w:color="auto"/>
            <w:bottom w:val="none" w:sz="0" w:space="0" w:color="auto"/>
            <w:right w:val="none" w:sz="0" w:space="0" w:color="auto"/>
          </w:divBdr>
        </w:div>
      </w:divsChild>
    </w:div>
    <w:div w:id="203099059">
      <w:bodyDiv w:val="1"/>
      <w:marLeft w:val="0"/>
      <w:marRight w:val="0"/>
      <w:marTop w:val="0"/>
      <w:marBottom w:val="0"/>
      <w:divBdr>
        <w:top w:val="none" w:sz="0" w:space="0" w:color="auto"/>
        <w:left w:val="none" w:sz="0" w:space="0" w:color="auto"/>
        <w:bottom w:val="none" w:sz="0" w:space="0" w:color="auto"/>
        <w:right w:val="none" w:sz="0" w:space="0" w:color="auto"/>
      </w:divBdr>
      <w:divsChild>
        <w:div w:id="730347911">
          <w:marLeft w:val="0"/>
          <w:marRight w:val="0"/>
          <w:marTop w:val="0"/>
          <w:marBottom w:val="0"/>
          <w:divBdr>
            <w:top w:val="none" w:sz="0" w:space="0" w:color="auto"/>
            <w:left w:val="none" w:sz="0" w:space="0" w:color="auto"/>
            <w:bottom w:val="none" w:sz="0" w:space="0" w:color="auto"/>
            <w:right w:val="none" w:sz="0" w:space="0" w:color="auto"/>
          </w:divBdr>
        </w:div>
      </w:divsChild>
    </w:div>
    <w:div w:id="282227195">
      <w:bodyDiv w:val="1"/>
      <w:marLeft w:val="0"/>
      <w:marRight w:val="0"/>
      <w:marTop w:val="0"/>
      <w:marBottom w:val="0"/>
      <w:divBdr>
        <w:top w:val="none" w:sz="0" w:space="0" w:color="auto"/>
        <w:left w:val="none" w:sz="0" w:space="0" w:color="auto"/>
        <w:bottom w:val="none" w:sz="0" w:space="0" w:color="auto"/>
        <w:right w:val="none" w:sz="0" w:space="0" w:color="auto"/>
      </w:divBdr>
      <w:divsChild>
        <w:div w:id="236979214">
          <w:marLeft w:val="0"/>
          <w:marRight w:val="0"/>
          <w:marTop w:val="0"/>
          <w:marBottom w:val="0"/>
          <w:divBdr>
            <w:top w:val="none" w:sz="0" w:space="0" w:color="auto"/>
            <w:left w:val="none" w:sz="0" w:space="0" w:color="auto"/>
            <w:bottom w:val="none" w:sz="0" w:space="0" w:color="auto"/>
            <w:right w:val="none" w:sz="0" w:space="0" w:color="auto"/>
          </w:divBdr>
        </w:div>
      </w:divsChild>
    </w:div>
    <w:div w:id="284388150">
      <w:bodyDiv w:val="1"/>
      <w:marLeft w:val="0"/>
      <w:marRight w:val="0"/>
      <w:marTop w:val="0"/>
      <w:marBottom w:val="0"/>
      <w:divBdr>
        <w:top w:val="none" w:sz="0" w:space="0" w:color="auto"/>
        <w:left w:val="none" w:sz="0" w:space="0" w:color="auto"/>
        <w:bottom w:val="none" w:sz="0" w:space="0" w:color="auto"/>
        <w:right w:val="none" w:sz="0" w:space="0" w:color="auto"/>
      </w:divBdr>
      <w:divsChild>
        <w:div w:id="1186990144">
          <w:marLeft w:val="0"/>
          <w:marRight w:val="0"/>
          <w:marTop w:val="0"/>
          <w:marBottom w:val="0"/>
          <w:divBdr>
            <w:top w:val="none" w:sz="0" w:space="0" w:color="auto"/>
            <w:left w:val="none" w:sz="0" w:space="0" w:color="auto"/>
            <w:bottom w:val="none" w:sz="0" w:space="0" w:color="auto"/>
            <w:right w:val="none" w:sz="0" w:space="0" w:color="auto"/>
          </w:divBdr>
        </w:div>
      </w:divsChild>
    </w:div>
    <w:div w:id="356128410">
      <w:bodyDiv w:val="1"/>
      <w:marLeft w:val="0"/>
      <w:marRight w:val="0"/>
      <w:marTop w:val="0"/>
      <w:marBottom w:val="0"/>
      <w:divBdr>
        <w:top w:val="none" w:sz="0" w:space="0" w:color="auto"/>
        <w:left w:val="none" w:sz="0" w:space="0" w:color="auto"/>
        <w:bottom w:val="none" w:sz="0" w:space="0" w:color="auto"/>
        <w:right w:val="none" w:sz="0" w:space="0" w:color="auto"/>
      </w:divBdr>
      <w:divsChild>
        <w:div w:id="1075399489">
          <w:marLeft w:val="0"/>
          <w:marRight w:val="0"/>
          <w:marTop w:val="0"/>
          <w:marBottom w:val="0"/>
          <w:divBdr>
            <w:top w:val="none" w:sz="0" w:space="0" w:color="auto"/>
            <w:left w:val="none" w:sz="0" w:space="0" w:color="auto"/>
            <w:bottom w:val="none" w:sz="0" w:space="0" w:color="auto"/>
            <w:right w:val="none" w:sz="0" w:space="0" w:color="auto"/>
          </w:divBdr>
        </w:div>
      </w:divsChild>
    </w:div>
    <w:div w:id="639192045">
      <w:bodyDiv w:val="1"/>
      <w:marLeft w:val="0"/>
      <w:marRight w:val="0"/>
      <w:marTop w:val="0"/>
      <w:marBottom w:val="0"/>
      <w:divBdr>
        <w:top w:val="none" w:sz="0" w:space="0" w:color="auto"/>
        <w:left w:val="none" w:sz="0" w:space="0" w:color="auto"/>
        <w:bottom w:val="none" w:sz="0" w:space="0" w:color="auto"/>
        <w:right w:val="none" w:sz="0" w:space="0" w:color="auto"/>
      </w:divBdr>
      <w:divsChild>
        <w:div w:id="238365633">
          <w:marLeft w:val="0"/>
          <w:marRight w:val="0"/>
          <w:marTop w:val="0"/>
          <w:marBottom w:val="0"/>
          <w:divBdr>
            <w:top w:val="none" w:sz="0" w:space="0" w:color="auto"/>
            <w:left w:val="none" w:sz="0" w:space="0" w:color="auto"/>
            <w:bottom w:val="none" w:sz="0" w:space="0" w:color="auto"/>
            <w:right w:val="none" w:sz="0" w:space="0" w:color="auto"/>
          </w:divBdr>
        </w:div>
      </w:divsChild>
    </w:div>
    <w:div w:id="639502197">
      <w:bodyDiv w:val="1"/>
      <w:marLeft w:val="0"/>
      <w:marRight w:val="0"/>
      <w:marTop w:val="0"/>
      <w:marBottom w:val="0"/>
      <w:divBdr>
        <w:top w:val="none" w:sz="0" w:space="0" w:color="auto"/>
        <w:left w:val="none" w:sz="0" w:space="0" w:color="auto"/>
        <w:bottom w:val="none" w:sz="0" w:space="0" w:color="auto"/>
        <w:right w:val="none" w:sz="0" w:space="0" w:color="auto"/>
      </w:divBdr>
      <w:divsChild>
        <w:div w:id="1897624318">
          <w:marLeft w:val="0"/>
          <w:marRight w:val="0"/>
          <w:marTop w:val="0"/>
          <w:marBottom w:val="0"/>
          <w:divBdr>
            <w:top w:val="none" w:sz="0" w:space="0" w:color="auto"/>
            <w:left w:val="none" w:sz="0" w:space="0" w:color="auto"/>
            <w:bottom w:val="none" w:sz="0" w:space="0" w:color="auto"/>
            <w:right w:val="none" w:sz="0" w:space="0" w:color="auto"/>
          </w:divBdr>
          <w:divsChild>
            <w:div w:id="58526967">
              <w:marLeft w:val="0"/>
              <w:marRight w:val="0"/>
              <w:marTop w:val="0"/>
              <w:marBottom w:val="0"/>
              <w:divBdr>
                <w:top w:val="none" w:sz="0" w:space="0" w:color="auto"/>
                <w:left w:val="none" w:sz="0" w:space="0" w:color="auto"/>
                <w:bottom w:val="none" w:sz="0" w:space="0" w:color="auto"/>
                <w:right w:val="none" w:sz="0" w:space="0" w:color="auto"/>
              </w:divBdr>
              <w:divsChild>
                <w:div w:id="6566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19829">
      <w:bodyDiv w:val="1"/>
      <w:marLeft w:val="0"/>
      <w:marRight w:val="0"/>
      <w:marTop w:val="0"/>
      <w:marBottom w:val="0"/>
      <w:divBdr>
        <w:top w:val="none" w:sz="0" w:space="0" w:color="auto"/>
        <w:left w:val="none" w:sz="0" w:space="0" w:color="auto"/>
        <w:bottom w:val="none" w:sz="0" w:space="0" w:color="auto"/>
        <w:right w:val="none" w:sz="0" w:space="0" w:color="auto"/>
      </w:divBdr>
      <w:divsChild>
        <w:div w:id="1729068529">
          <w:marLeft w:val="0"/>
          <w:marRight w:val="0"/>
          <w:marTop w:val="0"/>
          <w:marBottom w:val="0"/>
          <w:divBdr>
            <w:top w:val="none" w:sz="0" w:space="0" w:color="auto"/>
            <w:left w:val="none" w:sz="0" w:space="0" w:color="auto"/>
            <w:bottom w:val="none" w:sz="0" w:space="0" w:color="auto"/>
            <w:right w:val="none" w:sz="0" w:space="0" w:color="auto"/>
          </w:divBdr>
        </w:div>
      </w:divsChild>
    </w:div>
    <w:div w:id="726759083">
      <w:bodyDiv w:val="1"/>
      <w:marLeft w:val="0"/>
      <w:marRight w:val="0"/>
      <w:marTop w:val="0"/>
      <w:marBottom w:val="0"/>
      <w:divBdr>
        <w:top w:val="none" w:sz="0" w:space="0" w:color="auto"/>
        <w:left w:val="none" w:sz="0" w:space="0" w:color="auto"/>
        <w:bottom w:val="none" w:sz="0" w:space="0" w:color="auto"/>
        <w:right w:val="none" w:sz="0" w:space="0" w:color="auto"/>
      </w:divBdr>
      <w:divsChild>
        <w:div w:id="788209043">
          <w:marLeft w:val="0"/>
          <w:marRight w:val="0"/>
          <w:marTop w:val="0"/>
          <w:marBottom w:val="0"/>
          <w:divBdr>
            <w:top w:val="none" w:sz="0" w:space="0" w:color="auto"/>
            <w:left w:val="none" w:sz="0" w:space="0" w:color="auto"/>
            <w:bottom w:val="none" w:sz="0" w:space="0" w:color="auto"/>
            <w:right w:val="none" w:sz="0" w:space="0" w:color="auto"/>
          </w:divBdr>
        </w:div>
      </w:divsChild>
    </w:div>
    <w:div w:id="727192509">
      <w:bodyDiv w:val="1"/>
      <w:marLeft w:val="0"/>
      <w:marRight w:val="0"/>
      <w:marTop w:val="0"/>
      <w:marBottom w:val="0"/>
      <w:divBdr>
        <w:top w:val="none" w:sz="0" w:space="0" w:color="auto"/>
        <w:left w:val="none" w:sz="0" w:space="0" w:color="auto"/>
        <w:bottom w:val="none" w:sz="0" w:space="0" w:color="auto"/>
        <w:right w:val="none" w:sz="0" w:space="0" w:color="auto"/>
      </w:divBdr>
      <w:divsChild>
        <w:div w:id="355079911">
          <w:marLeft w:val="0"/>
          <w:marRight w:val="0"/>
          <w:marTop w:val="0"/>
          <w:marBottom w:val="0"/>
          <w:divBdr>
            <w:top w:val="none" w:sz="0" w:space="0" w:color="auto"/>
            <w:left w:val="none" w:sz="0" w:space="0" w:color="auto"/>
            <w:bottom w:val="none" w:sz="0" w:space="0" w:color="auto"/>
            <w:right w:val="none" w:sz="0" w:space="0" w:color="auto"/>
          </w:divBdr>
        </w:div>
      </w:divsChild>
    </w:div>
    <w:div w:id="743651954">
      <w:bodyDiv w:val="1"/>
      <w:marLeft w:val="0"/>
      <w:marRight w:val="0"/>
      <w:marTop w:val="0"/>
      <w:marBottom w:val="0"/>
      <w:divBdr>
        <w:top w:val="none" w:sz="0" w:space="0" w:color="auto"/>
        <w:left w:val="none" w:sz="0" w:space="0" w:color="auto"/>
        <w:bottom w:val="none" w:sz="0" w:space="0" w:color="auto"/>
        <w:right w:val="none" w:sz="0" w:space="0" w:color="auto"/>
      </w:divBdr>
      <w:divsChild>
        <w:div w:id="1658920162">
          <w:marLeft w:val="0"/>
          <w:marRight w:val="0"/>
          <w:marTop w:val="0"/>
          <w:marBottom w:val="0"/>
          <w:divBdr>
            <w:top w:val="none" w:sz="0" w:space="0" w:color="auto"/>
            <w:left w:val="none" w:sz="0" w:space="0" w:color="auto"/>
            <w:bottom w:val="none" w:sz="0" w:space="0" w:color="auto"/>
            <w:right w:val="none" w:sz="0" w:space="0" w:color="auto"/>
          </w:divBdr>
        </w:div>
      </w:divsChild>
    </w:div>
    <w:div w:id="783035568">
      <w:bodyDiv w:val="1"/>
      <w:marLeft w:val="0"/>
      <w:marRight w:val="0"/>
      <w:marTop w:val="0"/>
      <w:marBottom w:val="0"/>
      <w:divBdr>
        <w:top w:val="none" w:sz="0" w:space="0" w:color="auto"/>
        <w:left w:val="none" w:sz="0" w:space="0" w:color="auto"/>
        <w:bottom w:val="none" w:sz="0" w:space="0" w:color="auto"/>
        <w:right w:val="none" w:sz="0" w:space="0" w:color="auto"/>
      </w:divBdr>
      <w:divsChild>
        <w:div w:id="2070222290">
          <w:marLeft w:val="0"/>
          <w:marRight w:val="0"/>
          <w:marTop w:val="0"/>
          <w:marBottom w:val="0"/>
          <w:divBdr>
            <w:top w:val="none" w:sz="0" w:space="0" w:color="auto"/>
            <w:left w:val="none" w:sz="0" w:space="0" w:color="auto"/>
            <w:bottom w:val="none" w:sz="0" w:space="0" w:color="auto"/>
            <w:right w:val="none" w:sz="0" w:space="0" w:color="auto"/>
          </w:divBdr>
        </w:div>
      </w:divsChild>
    </w:div>
    <w:div w:id="924069208">
      <w:bodyDiv w:val="1"/>
      <w:marLeft w:val="0"/>
      <w:marRight w:val="0"/>
      <w:marTop w:val="0"/>
      <w:marBottom w:val="0"/>
      <w:divBdr>
        <w:top w:val="none" w:sz="0" w:space="0" w:color="auto"/>
        <w:left w:val="none" w:sz="0" w:space="0" w:color="auto"/>
        <w:bottom w:val="none" w:sz="0" w:space="0" w:color="auto"/>
        <w:right w:val="none" w:sz="0" w:space="0" w:color="auto"/>
      </w:divBdr>
      <w:divsChild>
        <w:div w:id="1343901059">
          <w:marLeft w:val="0"/>
          <w:marRight w:val="0"/>
          <w:marTop w:val="0"/>
          <w:marBottom w:val="0"/>
          <w:divBdr>
            <w:top w:val="none" w:sz="0" w:space="0" w:color="auto"/>
            <w:left w:val="none" w:sz="0" w:space="0" w:color="auto"/>
            <w:bottom w:val="none" w:sz="0" w:space="0" w:color="auto"/>
            <w:right w:val="none" w:sz="0" w:space="0" w:color="auto"/>
          </w:divBdr>
        </w:div>
      </w:divsChild>
    </w:div>
    <w:div w:id="927617657">
      <w:bodyDiv w:val="1"/>
      <w:marLeft w:val="0"/>
      <w:marRight w:val="0"/>
      <w:marTop w:val="0"/>
      <w:marBottom w:val="0"/>
      <w:divBdr>
        <w:top w:val="none" w:sz="0" w:space="0" w:color="auto"/>
        <w:left w:val="none" w:sz="0" w:space="0" w:color="auto"/>
        <w:bottom w:val="none" w:sz="0" w:space="0" w:color="auto"/>
        <w:right w:val="none" w:sz="0" w:space="0" w:color="auto"/>
      </w:divBdr>
      <w:divsChild>
        <w:div w:id="1217470434">
          <w:marLeft w:val="0"/>
          <w:marRight w:val="0"/>
          <w:marTop w:val="0"/>
          <w:marBottom w:val="0"/>
          <w:divBdr>
            <w:top w:val="none" w:sz="0" w:space="0" w:color="auto"/>
            <w:left w:val="none" w:sz="0" w:space="0" w:color="auto"/>
            <w:bottom w:val="none" w:sz="0" w:space="0" w:color="auto"/>
            <w:right w:val="none" w:sz="0" w:space="0" w:color="auto"/>
          </w:divBdr>
        </w:div>
      </w:divsChild>
    </w:div>
    <w:div w:id="1053574715">
      <w:bodyDiv w:val="1"/>
      <w:marLeft w:val="0"/>
      <w:marRight w:val="0"/>
      <w:marTop w:val="0"/>
      <w:marBottom w:val="0"/>
      <w:divBdr>
        <w:top w:val="none" w:sz="0" w:space="0" w:color="auto"/>
        <w:left w:val="none" w:sz="0" w:space="0" w:color="auto"/>
        <w:bottom w:val="none" w:sz="0" w:space="0" w:color="auto"/>
        <w:right w:val="none" w:sz="0" w:space="0" w:color="auto"/>
      </w:divBdr>
      <w:divsChild>
        <w:div w:id="1986615781">
          <w:marLeft w:val="0"/>
          <w:marRight w:val="0"/>
          <w:marTop w:val="0"/>
          <w:marBottom w:val="0"/>
          <w:divBdr>
            <w:top w:val="none" w:sz="0" w:space="0" w:color="auto"/>
            <w:left w:val="none" w:sz="0" w:space="0" w:color="auto"/>
            <w:bottom w:val="none" w:sz="0" w:space="0" w:color="auto"/>
            <w:right w:val="none" w:sz="0" w:space="0" w:color="auto"/>
          </w:divBdr>
        </w:div>
      </w:divsChild>
    </w:div>
    <w:div w:id="1259754059">
      <w:bodyDiv w:val="1"/>
      <w:marLeft w:val="0"/>
      <w:marRight w:val="0"/>
      <w:marTop w:val="0"/>
      <w:marBottom w:val="0"/>
      <w:divBdr>
        <w:top w:val="none" w:sz="0" w:space="0" w:color="auto"/>
        <w:left w:val="none" w:sz="0" w:space="0" w:color="auto"/>
        <w:bottom w:val="none" w:sz="0" w:space="0" w:color="auto"/>
        <w:right w:val="none" w:sz="0" w:space="0" w:color="auto"/>
      </w:divBdr>
      <w:divsChild>
        <w:div w:id="596013593">
          <w:marLeft w:val="0"/>
          <w:marRight w:val="0"/>
          <w:marTop w:val="0"/>
          <w:marBottom w:val="0"/>
          <w:divBdr>
            <w:top w:val="none" w:sz="0" w:space="0" w:color="auto"/>
            <w:left w:val="none" w:sz="0" w:space="0" w:color="auto"/>
            <w:bottom w:val="none" w:sz="0" w:space="0" w:color="auto"/>
            <w:right w:val="none" w:sz="0" w:space="0" w:color="auto"/>
          </w:divBdr>
        </w:div>
      </w:divsChild>
    </w:div>
    <w:div w:id="1314750268">
      <w:bodyDiv w:val="1"/>
      <w:marLeft w:val="0"/>
      <w:marRight w:val="0"/>
      <w:marTop w:val="0"/>
      <w:marBottom w:val="0"/>
      <w:divBdr>
        <w:top w:val="none" w:sz="0" w:space="0" w:color="auto"/>
        <w:left w:val="none" w:sz="0" w:space="0" w:color="auto"/>
        <w:bottom w:val="none" w:sz="0" w:space="0" w:color="auto"/>
        <w:right w:val="none" w:sz="0" w:space="0" w:color="auto"/>
      </w:divBdr>
      <w:divsChild>
        <w:div w:id="850531001">
          <w:marLeft w:val="0"/>
          <w:marRight w:val="0"/>
          <w:marTop w:val="0"/>
          <w:marBottom w:val="0"/>
          <w:divBdr>
            <w:top w:val="none" w:sz="0" w:space="0" w:color="auto"/>
            <w:left w:val="none" w:sz="0" w:space="0" w:color="auto"/>
            <w:bottom w:val="none" w:sz="0" w:space="0" w:color="auto"/>
            <w:right w:val="none" w:sz="0" w:space="0" w:color="auto"/>
          </w:divBdr>
        </w:div>
      </w:divsChild>
    </w:div>
    <w:div w:id="1319336432">
      <w:bodyDiv w:val="1"/>
      <w:marLeft w:val="0"/>
      <w:marRight w:val="0"/>
      <w:marTop w:val="0"/>
      <w:marBottom w:val="0"/>
      <w:divBdr>
        <w:top w:val="none" w:sz="0" w:space="0" w:color="auto"/>
        <w:left w:val="none" w:sz="0" w:space="0" w:color="auto"/>
        <w:bottom w:val="none" w:sz="0" w:space="0" w:color="auto"/>
        <w:right w:val="none" w:sz="0" w:space="0" w:color="auto"/>
      </w:divBdr>
    </w:div>
    <w:div w:id="1416629263">
      <w:bodyDiv w:val="1"/>
      <w:marLeft w:val="0"/>
      <w:marRight w:val="0"/>
      <w:marTop w:val="0"/>
      <w:marBottom w:val="0"/>
      <w:divBdr>
        <w:top w:val="none" w:sz="0" w:space="0" w:color="auto"/>
        <w:left w:val="none" w:sz="0" w:space="0" w:color="auto"/>
        <w:bottom w:val="none" w:sz="0" w:space="0" w:color="auto"/>
        <w:right w:val="none" w:sz="0" w:space="0" w:color="auto"/>
      </w:divBdr>
      <w:divsChild>
        <w:div w:id="1361661706">
          <w:marLeft w:val="0"/>
          <w:marRight w:val="0"/>
          <w:marTop w:val="0"/>
          <w:marBottom w:val="0"/>
          <w:divBdr>
            <w:top w:val="none" w:sz="0" w:space="0" w:color="auto"/>
            <w:left w:val="none" w:sz="0" w:space="0" w:color="auto"/>
            <w:bottom w:val="none" w:sz="0" w:space="0" w:color="auto"/>
            <w:right w:val="none" w:sz="0" w:space="0" w:color="auto"/>
          </w:divBdr>
        </w:div>
      </w:divsChild>
    </w:div>
    <w:div w:id="1521581945">
      <w:bodyDiv w:val="1"/>
      <w:marLeft w:val="0"/>
      <w:marRight w:val="0"/>
      <w:marTop w:val="0"/>
      <w:marBottom w:val="0"/>
      <w:divBdr>
        <w:top w:val="none" w:sz="0" w:space="0" w:color="auto"/>
        <w:left w:val="none" w:sz="0" w:space="0" w:color="auto"/>
        <w:bottom w:val="none" w:sz="0" w:space="0" w:color="auto"/>
        <w:right w:val="none" w:sz="0" w:space="0" w:color="auto"/>
      </w:divBdr>
      <w:divsChild>
        <w:div w:id="448664760">
          <w:marLeft w:val="0"/>
          <w:marRight w:val="0"/>
          <w:marTop w:val="0"/>
          <w:marBottom w:val="0"/>
          <w:divBdr>
            <w:top w:val="none" w:sz="0" w:space="0" w:color="auto"/>
            <w:left w:val="none" w:sz="0" w:space="0" w:color="auto"/>
            <w:bottom w:val="none" w:sz="0" w:space="0" w:color="auto"/>
            <w:right w:val="none" w:sz="0" w:space="0" w:color="auto"/>
          </w:divBdr>
        </w:div>
      </w:divsChild>
    </w:div>
    <w:div w:id="1758743844">
      <w:bodyDiv w:val="1"/>
      <w:marLeft w:val="0"/>
      <w:marRight w:val="0"/>
      <w:marTop w:val="0"/>
      <w:marBottom w:val="0"/>
      <w:divBdr>
        <w:top w:val="none" w:sz="0" w:space="0" w:color="auto"/>
        <w:left w:val="none" w:sz="0" w:space="0" w:color="auto"/>
        <w:bottom w:val="none" w:sz="0" w:space="0" w:color="auto"/>
        <w:right w:val="none" w:sz="0" w:space="0" w:color="auto"/>
      </w:divBdr>
      <w:divsChild>
        <w:div w:id="2140877597">
          <w:marLeft w:val="0"/>
          <w:marRight w:val="0"/>
          <w:marTop w:val="0"/>
          <w:marBottom w:val="0"/>
          <w:divBdr>
            <w:top w:val="none" w:sz="0" w:space="0" w:color="auto"/>
            <w:left w:val="none" w:sz="0" w:space="0" w:color="auto"/>
            <w:bottom w:val="none" w:sz="0" w:space="0" w:color="auto"/>
            <w:right w:val="none" w:sz="0" w:space="0" w:color="auto"/>
          </w:divBdr>
        </w:div>
      </w:divsChild>
    </w:div>
    <w:div w:id="1829441948">
      <w:bodyDiv w:val="1"/>
      <w:marLeft w:val="0"/>
      <w:marRight w:val="0"/>
      <w:marTop w:val="0"/>
      <w:marBottom w:val="0"/>
      <w:divBdr>
        <w:top w:val="none" w:sz="0" w:space="0" w:color="auto"/>
        <w:left w:val="none" w:sz="0" w:space="0" w:color="auto"/>
        <w:bottom w:val="none" w:sz="0" w:space="0" w:color="auto"/>
        <w:right w:val="none" w:sz="0" w:space="0" w:color="auto"/>
      </w:divBdr>
      <w:divsChild>
        <w:div w:id="753862162">
          <w:marLeft w:val="0"/>
          <w:marRight w:val="0"/>
          <w:marTop w:val="0"/>
          <w:marBottom w:val="0"/>
          <w:divBdr>
            <w:top w:val="none" w:sz="0" w:space="0" w:color="auto"/>
            <w:left w:val="none" w:sz="0" w:space="0" w:color="auto"/>
            <w:bottom w:val="none" w:sz="0" w:space="0" w:color="auto"/>
            <w:right w:val="none" w:sz="0" w:space="0" w:color="auto"/>
          </w:divBdr>
        </w:div>
      </w:divsChild>
    </w:div>
    <w:div w:id="1971667077">
      <w:bodyDiv w:val="1"/>
      <w:marLeft w:val="0"/>
      <w:marRight w:val="0"/>
      <w:marTop w:val="0"/>
      <w:marBottom w:val="0"/>
      <w:divBdr>
        <w:top w:val="none" w:sz="0" w:space="0" w:color="auto"/>
        <w:left w:val="none" w:sz="0" w:space="0" w:color="auto"/>
        <w:bottom w:val="none" w:sz="0" w:space="0" w:color="auto"/>
        <w:right w:val="none" w:sz="0" w:space="0" w:color="auto"/>
      </w:divBdr>
      <w:divsChild>
        <w:div w:id="1331254011">
          <w:marLeft w:val="0"/>
          <w:marRight w:val="0"/>
          <w:marTop w:val="0"/>
          <w:marBottom w:val="0"/>
          <w:divBdr>
            <w:top w:val="none" w:sz="0" w:space="0" w:color="auto"/>
            <w:left w:val="none" w:sz="0" w:space="0" w:color="auto"/>
            <w:bottom w:val="none" w:sz="0" w:space="0" w:color="auto"/>
            <w:right w:val="none" w:sz="0" w:space="0" w:color="auto"/>
          </w:divBdr>
        </w:div>
      </w:divsChild>
    </w:div>
    <w:div w:id="1993831839">
      <w:bodyDiv w:val="1"/>
      <w:marLeft w:val="0"/>
      <w:marRight w:val="0"/>
      <w:marTop w:val="0"/>
      <w:marBottom w:val="0"/>
      <w:divBdr>
        <w:top w:val="none" w:sz="0" w:space="0" w:color="auto"/>
        <w:left w:val="none" w:sz="0" w:space="0" w:color="auto"/>
        <w:bottom w:val="none" w:sz="0" w:space="0" w:color="auto"/>
        <w:right w:val="none" w:sz="0" w:space="0" w:color="auto"/>
      </w:divBdr>
      <w:divsChild>
        <w:div w:id="770930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AA17-3FCF-4FBD-85B1-D6364925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2228</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Heade (OPD)</dc:creator>
  <cp:keywords/>
  <dc:description/>
  <cp:lastModifiedBy>Kevin Heade (OPD)</cp:lastModifiedBy>
  <cp:revision>18</cp:revision>
  <cp:lastPrinted>2020-01-09T16:44:00Z</cp:lastPrinted>
  <dcterms:created xsi:type="dcterms:W3CDTF">2022-04-29T20:00:00Z</dcterms:created>
  <dcterms:modified xsi:type="dcterms:W3CDTF">2022-05-01T13:49:00Z</dcterms:modified>
  <cp:contentStatus/>
</cp:coreProperties>
</file>