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DBCB" w14:textId="1F57C9C6" w:rsidR="00472C18" w:rsidRPr="00A322E7" w:rsidRDefault="00472C18" w:rsidP="0060070E">
      <w:pPr>
        <w:jc w:val="both"/>
        <w:rPr>
          <w:sz w:val="28"/>
          <w:szCs w:val="28"/>
        </w:rPr>
      </w:pPr>
      <w:r w:rsidRPr="00A322E7">
        <w:rPr>
          <w:sz w:val="28"/>
          <w:szCs w:val="28"/>
        </w:rPr>
        <w:t>P</w:t>
      </w:r>
      <w:r w:rsidR="00C076C0" w:rsidRPr="00A322E7">
        <w:rPr>
          <w:sz w:val="28"/>
          <w:szCs w:val="28"/>
        </w:rPr>
        <w:t>atricia A. Sallen</w:t>
      </w:r>
    </w:p>
    <w:p w14:paraId="05E46888" w14:textId="6686B0A7" w:rsidR="0007135F" w:rsidRPr="00A322E7" w:rsidRDefault="0007135F" w:rsidP="0060070E">
      <w:pPr>
        <w:jc w:val="both"/>
        <w:rPr>
          <w:sz w:val="28"/>
          <w:szCs w:val="28"/>
        </w:rPr>
      </w:pPr>
      <w:r w:rsidRPr="00A322E7">
        <w:rPr>
          <w:sz w:val="28"/>
          <w:szCs w:val="28"/>
        </w:rPr>
        <w:t>Ethics at Law PLLC</w:t>
      </w:r>
    </w:p>
    <w:p w14:paraId="1318C751" w14:textId="52B90CEA" w:rsidR="00472C18" w:rsidRPr="00A322E7" w:rsidRDefault="0007135F" w:rsidP="0060070E">
      <w:pPr>
        <w:jc w:val="both"/>
        <w:rPr>
          <w:sz w:val="28"/>
          <w:szCs w:val="28"/>
        </w:rPr>
      </w:pPr>
      <w:r w:rsidRPr="00A322E7">
        <w:rPr>
          <w:sz w:val="28"/>
          <w:szCs w:val="28"/>
        </w:rPr>
        <w:t>3420 N. 42</w:t>
      </w:r>
      <w:r w:rsidRPr="00A322E7">
        <w:rPr>
          <w:sz w:val="28"/>
          <w:szCs w:val="28"/>
          <w:vertAlign w:val="superscript"/>
        </w:rPr>
        <w:t>nd</w:t>
      </w:r>
      <w:r w:rsidRPr="00A322E7">
        <w:rPr>
          <w:sz w:val="28"/>
          <w:szCs w:val="28"/>
        </w:rPr>
        <w:t xml:space="preserve"> St.</w:t>
      </w:r>
    </w:p>
    <w:p w14:paraId="38A32A38" w14:textId="20B95F00" w:rsidR="00472C18" w:rsidRPr="00A322E7" w:rsidRDefault="00472C18" w:rsidP="0060070E">
      <w:pPr>
        <w:jc w:val="both"/>
        <w:rPr>
          <w:sz w:val="28"/>
          <w:szCs w:val="28"/>
        </w:rPr>
      </w:pPr>
      <w:r w:rsidRPr="00A322E7">
        <w:rPr>
          <w:sz w:val="28"/>
          <w:szCs w:val="28"/>
        </w:rPr>
        <w:t>Phoenix, Arizona 8501</w:t>
      </w:r>
      <w:r w:rsidR="0007135F" w:rsidRPr="00A322E7">
        <w:rPr>
          <w:sz w:val="28"/>
          <w:szCs w:val="28"/>
        </w:rPr>
        <w:t>8</w:t>
      </w:r>
    </w:p>
    <w:p w14:paraId="66977E3C" w14:textId="77777777" w:rsidR="00472C18" w:rsidRPr="00A322E7" w:rsidRDefault="00472C18" w:rsidP="0060070E">
      <w:pPr>
        <w:jc w:val="both"/>
        <w:rPr>
          <w:sz w:val="28"/>
          <w:szCs w:val="28"/>
        </w:rPr>
      </w:pPr>
      <w:r w:rsidRPr="00A322E7">
        <w:rPr>
          <w:sz w:val="28"/>
          <w:szCs w:val="28"/>
        </w:rPr>
        <w:t>480-290-4841</w:t>
      </w:r>
    </w:p>
    <w:p w14:paraId="5CD2A01B" w14:textId="475C7462" w:rsidR="00472C18" w:rsidRPr="00A322E7" w:rsidRDefault="00472C18" w:rsidP="0060070E">
      <w:pPr>
        <w:jc w:val="both"/>
        <w:rPr>
          <w:sz w:val="28"/>
          <w:szCs w:val="28"/>
        </w:rPr>
      </w:pPr>
      <w:r w:rsidRPr="00A322E7">
        <w:rPr>
          <w:sz w:val="28"/>
          <w:szCs w:val="28"/>
        </w:rPr>
        <w:t>psallen@ethicsatlaw.com</w:t>
      </w:r>
    </w:p>
    <w:p w14:paraId="71D1DEF6" w14:textId="77777777" w:rsidR="0007135F" w:rsidRPr="00A322E7" w:rsidRDefault="0007135F" w:rsidP="0007135F">
      <w:pPr>
        <w:jc w:val="both"/>
        <w:rPr>
          <w:sz w:val="28"/>
          <w:szCs w:val="28"/>
        </w:rPr>
      </w:pPr>
      <w:r w:rsidRPr="00A322E7">
        <w:rPr>
          <w:sz w:val="28"/>
          <w:szCs w:val="28"/>
        </w:rPr>
        <w:t>Bar No. 012338</w:t>
      </w:r>
    </w:p>
    <w:p w14:paraId="1755239F" w14:textId="77777777" w:rsidR="00472C18" w:rsidRPr="00A322E7" w:rsidRDefault="00472C18" w:rsidP="0060070E">
      <w:pPr>
        <w:spacing w:line="480" w:lineRule="auto"/>
        <w:jc w:val="both"/>
        <w:rPr>
          <w:sz w:val="28"/>
          <w:szCs w:val="28"/>
        </w:rPr>
      </w:pPr>
    </w:p>
    <w:p w14:paraId="38444F3F" w14:textId="77777777" w:rsidR="00472C18" w:rsidRPr="00A322E7" w:rsidRDefault="00472C18" w:rsidP="0060070E">
      <w:pPr>
        <w:spacing w:line="480" w:lineRule="auto"/>
        <w:jc w:val="center"/>
        <w:rPr>
          <w:b/>
          <w:sz w:val="28"/>
          <w:szCs w:val="28"/>
        </w:rPr>
      </w:pPr>
      <w:r w:rsidRPr="00A322E7">
        <w:rPr>
          <w:b/>
          <w:sz w:val="28"/>
          <w:szCs w:val="28"/>
        </w:rPr>
        <w:t>IN THE ARIZONA SUPREME COURT</w:t>
      </w:r>
    </w:p>
    <w:p w14:paraId="2FA0FE7A" w14:textId="77777777" w:rsidR="00472C18" w:rsidRPr="00A322E7" w:rsidRDefault="00472C18" w:rsidP="0060070E">
      <w:pPr>
        <w:jc w:val="both"/>
        <w:rPr>
          <w:b/>
          <w:color w:val="000000"/>
          <w:sz w:val="28"/>
          <w:szCs w:val="28"/>
        </w:r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4608"/>
        <w:gridCol w:w="270"/>
        <w:gridCol w:w="4500"/>
      </w:tblGrid>
      <w:tr w:rsidR="00472C18" w:rsidRPr="00A322E7" w14:paraId="378137F8" w14:textId="77777777" w:rsidTr="005509BD">
        <w:tc>
          <w:tcPr>
            <w:tcW w:w="4608" w:type="dxa"/>
            <w:tcBorders>
              <w:right w:val="single" w:sz="4" w:space="0" w:color="auto"/>
            </w:tcBorders>
          </w:tcPr>
          <w:p w14:paraId="4E4F58F3" w14:textId="77777777" w:rsidR="00472C18" w:rsidRPr="00A322E7" w:rsidRDefault="00472C18" w:rsidP="0060070E">
            <w:pPr>
              <w:jc w:val="both"/>
              <w:rPr>
                <w:color w:val="000000"/>
                <w:sz w:val="28"/>
                <w:szCs w:val="28"/>
              </w:rPr>
            </w:pPr>
            <w:r w:rsidRPr="00A322E7">
              <w:rPr>
                <w:color w:val="000000"/>
                <w:sz w:val="28"/>
                <w:szCs w:val="28"/>
              </w:rPr>
              <w:t>In the Matter of:</w:t>
            </w:r>
          </w:p>
          <w:p w14:paraId="551438D2" w14:textId="77777777" w:rsidR="00472C18" w:rsidRPr="00A322E7" w:rsidRDefault="00472C18" w:rsidP="0060070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3D4A244" w14:textId="77777777" w:rsidR="0060070E" w:rsidRPr="00A322E7" w:rsidRDefault="00472C18" w:rsidP="0060070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322E7">
              <w:rPr>
                <w:b/>
                <w:color w:val="000000"/>
                <w:sz w:val="28"/>
                <w:szCs w:val="28"/>
              </w:rPr>
              <w:t>PETITION TO AMEND</w:t>
            </w:r>
          </w:p>
          <w:p w14:paraId="0F61B33E" w14:textId="0220F85A" w:rsidR="00472C18" w:rsidRPr="00A322E7" w:rsidRDefault="0007135F" w:rsidP="0060070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322E7">
              <w:rPr>
                <w:b/>
                <w:color w:val="000000"/>
                <w:sz w:val="28"/>
                <w:szCs w:val="28"/>
              </w:rPr>
              <w:t>RULE 42 (ER 1.2)</w:t>
            </w:r>
            <w:r w:rsidR="00472C18" w:rsidRPr="00A322E7">
              <w:rPr>
                <w:b/>
                <w:color w:val="000000"/>
                <w:sz w:val="28"/>
                <w:szCs w:val="28"/>
              </w:rPr>
              <w:t>, ARIZ. R. SUP. CT.</w:t>
            </w:r>
          </w:p>
          <w:p w14:paraId="32260F44" w14:textId="77777777" w:rsidR="00472C18" w:rsidRPr="00A322E7" w:rsidRDefault="00472C18" w:rsidP="0060070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792470F3" w14:textId="77777777" w:rsidR="00472C18" w:rsidRPr="00A322E7" w:rsidRDefault="00472C18" w:rsidP="0060070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</w:tcPr>
          <w:p w14:paraId="060E24E6" w14:textId="4FEC8A91" w:rsidR="00472C18" w:rsidRPr="00A322E7" w:rsidRDefault="00030160" w:rsidP="0060070E">
            <w:pPr>
              <w:jc w:val="both"/>
              <w:rPr>
                <w:color w:val="000000"/>
                <w:sz w:val="28"/>
                <w:szCs w:val="28"/>
              </w:rPr>
            </w:pPr>
            <w:r w:rsidRPr="00A322E7">
              <w:rPr>
                <w:color w:val="000000"/>
                <w:sz w:val="28"/>
                <w:szCs w:val="28"/>
              </w:rPr>
              <w:t>Supreme Court No. R-</w:t>
            </w:r>
            <w:r w:rsidR="0007135F" w:rsidRPr="00A322E7">
              <w:rPr>
                <w:color w:val="000000"/>
                <w:sz w:val="28"/>
                <w:szCs w:val="28"/>
              </w:rPr>
              <w:t>21</w:t>
            </w:r>
            <w:r w:rsidR="00472C18" w:rsidRPr="00A322E7">
              <w:rPr>
                <w:color w:val="000000"/>
                <w:sz w:val="28"/>
                <w:szCs w:val="28"/>
              </w:rPr>
              <w:t>-</w:t>
            </w:r>
            <w:r w:rsidR="0007135F" w:rsidRPr="00A322E7">
              <w:rPr>
                <w:color w:val="000000"/>
                <w:sz w:val="28"/>
                <w:szCs w:val="28"/>
              </w:rPr>
              <w:t>0041</w:t>
            </w:r>
          </w:p>
          <w:p w14:paraId="67AA4087" w14:textId="77777777" w:rsidR="00472C18" w:rsidRPr="00A322E7" w:rsidRDefault="00472C18" w:rsidP="0060070E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97A64FF" w14:textId="7CD1ACED" w:rsidR="00472C18" w:rsidRPr="00A322E7" w:rsidRDefault="0007135F" w:rsidP="0060070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322E7">
              <w:rPr>
                <w:b/>
                <w:color w:val="000000"/>
                <w:sz w:val="28"/>
                <w:szCs w:val="28"/>
              </w:rPr>
              <w:t xml:space="preserve">Comment </w:t>
            </w:r>
            <w:r w:rsidR="00A5556D" w:rsidRPr="00A322E7">
              <w:rPr>
                <w:b/>
                <w:color w:val="000000"/>
                <w:sz w:val="28"/>
                <w:szCs w:val="28"/>
              </w:rPr>
              <w:t>in Support of Petition to Amend Rule 42 (ER 1.2), Ariz. R. Sup. Ct.</w:t>
            </w:r>
          </w:p>
        </w:tc>
      </w:tr>
      <w:tr w:rsidR="00472C18" w:rsidRPr="00A322E7" w14:paraId="5B73930F" w14:textId="77777777" w:rsidTr="005509BD">
        <w:tc>
          <w:tcPr>
            <w:tcW w:w="4608" w:type="dxa"/>
            <w:tcBorders>
              <w:bottom w:val="single" w:sz="4" w:space="0" w:color="auto"/>
              <w:right w:val="single" w:sz="4" w:space="0" w:color="auto"/>
            </w:tcBorders>
          </w:tcPr>
          <w:p w14:paraId="734CFACF" w14:textId="77777777" w:rsidR="00472C18" w:rsidRPr="00A322E7" w:rsidRDefault="00472C18" w:rsidP="0060070E">
            <w:pPr>
              <w:spacing w:line="48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6B3ECF9B" w14:textId="77777777" w:rsidR="00472C18" w:rsidRPr="00A322E7" w:rsidRDefault="00472C18" w:rsidP="0060070E">
            <w:pPr>
              <w:spacing w:line="48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</w:tcPr>
          <w:p w14:paraId="63AF699D" w14:textId="77777777" w:rsidR="00472C18" w:rsidRPr="00A322E7" w:rsidRDefault="00472C18" w:rsidP="0060070E">
            <w:pPr>
              <w:spacing w:line="48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BDD9D48" w14:textId="77777777" w:rsidR="0060070E" w:rsidRPr="00A322E7" w:rsidRDefault="0060070E" w:rsidP="0060070E">
      <w:pPr>
        <w:spacing w:line="480" w:lineRule="auto"/>
        <w:ind w:right="-432"/>
        <w:jc w:val="both"/>
        <w:rPr>
          <w:color w:val="000000"/>
          <w:sz w:val="28"/>
          <w:szCs w:val="28"/>
        </w:rPr>
      </w:pPr>
    </w:p>
    <w:p w14:paraId="1D0B62E9" w14:textId="732BBABB" w:rsidR="003B4BF4" w:rsidRPr="00A322E7" w:rsidRDefault="00472C18" w:rsidP="00F65AD4">
      <w:pPr>
        <w:spacing w:line="480" w:lineRule="auto"/>
        <w:jc w:val="both"/>
        <w:rPr>
          <w:color w:val="000000"/>
          <w:sz w:val="28"/>
          <w:szCs w:val="28"/>
        </w:rPr>
      </w:pPr>
      <w:r w:rsidRPr="00A322E7">
        <w:rPr>
          <w:color w:val="000000"/>
          <w:sz w:val="28"/>
          <w:szCs w:val="28"/>
        </w:rPr>
        <w:tab/>
        <w:t xml:space="preserve">Pursuant to Rule 28, Ariz. R. Sup. Ct., </w:t>
      </w:r>
      <w:r w:rsidR="00F76B62" w:rsidRPr="00A322E7">
        <w:rPr>
          <w:color w:val="000000"/>
          <w:sz w:val="28"/>
          <w:szCs w:val="28"/>
        </w:rPr>
        <w:t>I</w:t>
      </w:r>
      <w:r w:rsidRPr="00A322E7">
        <w:rPr>
          <w:color w:val="000000"/>
          <w:sz w:val="28"/>
          <w:szCs w:val="28"/>
        </w:rPr>
        <w:t xml:space="preserve"> respectfully </w:t>
      </w:r>
      <w:r w:rsidR="00A5556D" w:rsidRPr="00A322E7">
        <w:rPr>
          <w:color w:val="000000"/>
          <w:sz w:val="28"/>
          <w:szCs w:val="28"/>
        </w:rPr>
        <w:t xml:space="preserve">submit this </w:t>
      </w:r>
      <w:r w:rsidR="00F76B62" w:rsidRPr="00A322E7">
        <w:rPr>
          <w:color w:val="000000"/>
          <w:sz w:val="28"/>
          <w:szCs w:val="28"/>
        </w:rPr>
        <w:t>c</w:t>
      </w:r>
      <w:r w:rsidR="00A5556D" w:rsidRPr="00A322E7">
        <w:rPr>
          <w:color w:val="000000"/>
          <w:sz w:val="28"/>
          <w:szCs w:val="28"/>
        </w:rPr>
        <w:t>omment in support of the Ethics Advisory Committee’s petition to amend ER 1.2.</w:t>
      </w:r>
      <w:r w:rsidR="003B4BF4" w:rsidRPr="00A322E7">
        <w:rPr>
          <w:color w:val="000000"/>
          <w:sz w:val="28"/>
          <w:szCs w:val="28"/>
        </w:rPr>
        <w:t xml:space="preserve"> </w:t>
      </w:r>
    </w:p>
    <w:p w14:paraId="014318DD" w14:textId="619AF9A9" w:rsidR="00B06603" w:rsidRPr="00A322E7" w:rsidRDefault="00A5556D" w:rsidP="003B4BF4">
      <w:pPr>
        <w:spacing w:line="480" w:lineRule="auto"/>
        <w:jc w:val="both"/>
        <w:rPr>
          <w:color w:val="000000"/>
          <w:sz w:val="28"/>
          <w:szCs w:val="28"/>
        </w:rPr>
      </w:pPr>
      <w:r w:rsidRPr="00A322E7">
        <w:rPr>
          <w:color w:val="000000"/>
          <w:sz w:val="28"/>
          <w:szCs w:val="28"/>
        </w:rPr>
        <w:tab/>
      </w:r>
      <w:r w:rsidR="003B4BF4" w:rsidRPr="00A322E7">
        <w:rPr>
          <w:color w:val="000000"/>
          <w:sz w:val="28"/>
          <w:szCs w:val="28"/>
        </w:rPr>
        <w:t xml:space="preserve">I filed the rule-change petitions </w:t>
      </w:r>
      <w:r w:rsidR="003B4BF4" w:rsidRPr="00A322E7">
        <w:rPr>
          <w:color w:val="000000" w:themeColor="text1"/>
          <w:sz w:val="28"/>
          <w:szCs w:val="28"/>
        </w:rPr>
        <w:t xml:space="preserve">R-16-0027 and R-18-0009 that proposed amending ER 1.2(d) </w:t>
      </w:r>
      <w:r w:rsidR="003B4BF4" w:rsidRPr="00A322E7">
        <w:rPr>
          <w:color w:val="000000"/>
          <w:sz w:val="28"/>
          <w:szCs w:val="28"/>
        </w:rPr>
        <w:t xml:space="preserve">to address Arizona lawyers’ ethical ability to counsel and assist clients in legal matters expressly permissible under state law, </w:t>
      </w:r>
      <w:r w:rsidR="008F779E" w:rsidRPr="00A322E7">
        <w:rPr>
          <w:color w:val="000000"/>
          <w:sz w:val="28"/>
          <w:szCs w:val="28"/>
        </w:rPr>
        <w:t>even though</w:t>
      </w:r>
      <w:r w:rsidR="003B4BF4" w:rsidRPr="00A322E7">
        <w:rPr>
          <w:color w:val="000000"/>
          <w:sz w:val="28"/>
          <w:szCs w:val="28"/>
        </w:rPr>
        <w:t xml:space="preserve"> the same conduct may violate applicable federal law.</w:t>
      </w:r>
      <w:r w:rsidR="00B06603" w:rsidRPr="00A322E7">
        <w:rPr>
          <w:color w:val="000000"/>
          <w:sz w:val="28"/>
          <w:szCs w:val="28"/>
        </w:rPr>
        <w:t xml:space="preserve"> The only “authority” that allowed this conduct was the non-binding State Bar of Arizona Ethics Op. 11-01, which essentially create</w:t>
      </w:r>
      <w:r w:rsidR="00EC58D4" w:rsidRPr="00A322E7">
        <w:rPr>
          <w:color w:val="000000"/>
          <w:sz w:val="28"/>
          <w:szCs w:val="28"/>
        </w:rPr>
        <w:t>d</w:t>
      </w:r>
      <w:r w:rsidR="00B06603" w:rsidRPr="00A322E7">
        <w:rPr>
          <w:color w:val="000000"/>
          <w:sz w:val="28"/>
          <w:szCs w:val="28"/>
        </w:rPr>
        <w:t xml:space="preserve"> an exception to ER 1.2(d).</w:t>
      </w:r>
    </w:p>
    <w:p w14:paraId="3304B480" w14:textId="77777777" w:rsidR="00B06603" w:rsidRPr="00A322E7" w:rsidRDefault="00B06603" w:rsidP="003B4BF4">
      <w:pPr>
        <w:spacing w:line="480" w:lineRule="auto"/>
        <w:jc w:val="both"/>
        <w:rPr>
          <w:color w:val="000000"/>
          <w:sz w:val="28"/>
          <w:szCs w:val="28"/>
        </w:rPr>
      </w:pPr>
    </w:p>
    <w:p w14:paraId="3EFFF1B9" w14:textId="432B24C6" w:rsidR="00B06603" w:rsidRPr="00A322E7" w:rsidRDefault="00B06603" w:rsidP="00B06603">
      <w:pPr>
        <w:spacing w:line="480" w:lineRule="auto"/>
        <w:ind w:firstLine="720"/>
        <w:jc w:val="both"/>
        <w:rPr>
          <w:color w:val="000000"/>
          <w:sz w:val="28"/>
          <w:szCs w:val="28"/>
        </w:rPr>
      </w:pPr>
      <w:r w:rsidRPr="00A322E7">
        <w:rPr>
          <w:color w:val="000000"/>
          <w:sz w:val="28"/>
          <w:szCs w:val="28"/>
        </w:rPr>
        <w:lastRenderedPageBreak/>
        <w:t>The Court denied each of my rule-change petitions, without comment</w:t>
      </w:r>
      <w:r w:rsidR="009F1827" w:rsidRPr="00A322E7">
        <w:rPr>
          <w:color w:val="000000"/>
          <w:sz w:val="28"/>
          <w:szCs w:val="28"/>
        </w:rPr>
        <w:t xml:space="preserve">. The Court’s action </w:t>
      </w:r>
      <w:r w:rsidR="00EC58D4" w:rsidRPr="00A322E7">
        <w:rPr>
          <w:color w:val="000000"/>
          <w:sz w:val="28"/>
          <w:szCs w:val="28"/>
        </w:rPr>
        <w:t>essentially</w:t>
      </w:r>
      <w:r w:rsidR="009F1827" w:rsidRPr="00A322E7">
        <w:rPr>
          <w:color w:val="000000"/>
          <w:sz w:val="28"/>
          <w:szCs w:val="28"/>
        </w:rPr>
        <w:t xml:space="preserve"> left ER 1.2(d) saying one thing while a non-binding ethics opinion said another.</w:t>
      </w:r>
    </w:p>
    <w:p w14:paraId="270ADA79" w14:textId="0DB4A9B7" w:rsidR="002031EB" w:rsidRPr="00A322E7" w:rsidRDefault="00B06603" w:rsidP="00AD4A0F">
      <w:pPr>
        <w:spacing w:line="480" w:lineRule="auto"/>
        <w:ind w:firstLine="720"/>
        <w:jc w:val="both"/>
        <w:rPr>
          <w:color w:val="000000"/>
          <w:sz w:val="28"/>
          <w:szCs w:val="28"/>
        </w:rPr>
      </w:pPr>
      <w:r w:rsidRPr="00A322E7">
        <w:rPr>
          <w:color w:val="000000"/>
          <w:sz w:val="28"/>
          <w:szCs w:val="28"/>
        </w:rPr>
        <w:t xml:space="preserve">I then </w:t>
      </w:r>
      <w:r w:rsidR="00A322E7" w:rsidRPr="00A322E7">
        <w:rPr>
          <w:color w:val="000000"/>
          <w:sz w:val="28"/>
          <w:szCs w:val="28"/>
        </w:rPr>
        <w:t xml:space="preserve">asked </w:t>
      </w:r>
      <w:r w:rsidRPr="00A322E7">
        <w:rPr>
          <w:color w:val="000000"/>
          <w:sz w:val="28"/>
          <w:szCs w:val="28"/>
        </w:rPr>
        <w:t xml:space="preserve">the Ethics Advisory Committee (EAC) </w:t>
      </w:r>
      <w:r w:rsidR="00EC58D4" w:rsidRPr="00A322E7">
        <w:rPr>
          <w:color w:val="000000"/>
          <w:sz w:val="28"/>
          <w:szCs w:val="28"/>
        </w:rPr>
        <w:t xml:space="preserve">for an opinion </w:t>
      </w:r>
      <w:r w:rsidRPr="00A322E7">
        <w:rPr>
          <w:color w:val="000000"/>
          <w:sz w:val="28"/>
          <w:szCs w:val="28"/>
        </w:rPr>
        <w:t>reconcil</w:t>
      </w:r>
      <w:r w:rsidR="00EC58D4" w:rsidRPr="00A322E7">
        <w:rPr>
          <w:color w:val="000000"/>
          <w:sz w:val="28"/>
          <w:szCs w:val="28"/>
        </w:rPr>
        <w:t>ing</w:t>
      </w:r>
      <w:r w:rsidRPr="00A322E7">
        <w:rPr>
          <w:color w:val="000000"/>
          <w:sz w:val="28"/>
          <w:szCs w:val="28"/>
        </w:rPr>
        <w:t xml:space="preserve"> the State Bar opinion with the express language of ER 1.2(d)</w:t>
      </w:r>
      <w:r w:rsidR="009F1827" w:rsidRPr="00A322E7">
        <w:rPr>
          <w:color w:val="000000"/>
          <w:sz w:val="28"/>
          <w:szCs w:val="28"/>
        </w:rPr>
        <w:t>.</w:t>
      </w:r>
      <w:r w:rsidR="009F1827" w:rsidRPr="00A322E7">
        <w:rPr>
          <w:rStyle w:val="FootnoteReference"/>
          <w:color w:val="000000"/>
          <w:sz w:val="28"/>
          <w:szCs w:val="32"/>
          <w:vertAlign w:val="superscript"/>
        </w:rPr>
        <w:footnoteReference w:id="1"/>
      </w:r>
      <w:r w:rsidR="00AD4A0F" w:rsidRPr="00A322E7">
        <w:rPr>
          <w:color w:val="000000"/>
          <w:sz w:val="28"/>
          <w:szCs w:val="32"/>
        </w:rPr>
        <w:t xml:space="preserve"> </w:t>
      </w:r>
      <w:r w:rsidR="00EC26CA" w:rsidRPr="00A322E7">
        <w:rPr>
          <w:color w:val="000000"/>
          <w:sz w:val="28"/>
          <w:szCs w:val="28"/>
        </w:rPr>
        <w:t xml:space="preserve">Apparently </w:t>
      </w:r>
      <w:r w:rsidR="008F779E" w:rsidRPr="00A322E7">
        <w:rPr>
          <w:color w:val="000000"/>
          <w:sz w:val="28"/>
          <w:szCs w:val="28"/>
        </w:rPr>
        <w:t>(</w:t>
      </w:r>
      <w:r w:rsidR="00A322E7" w:rsidRPr="00A322E7">
        <w:rPr>
          <w:color w:val="000000"/>
          <w:sz w:val="28"/>
          <w:szCs w:val="28"/>
        </w:rPr>
        <w:t xml:space="preserve">and </w:t>
      </w:r>
      <w:r w:rsidR="008F779E" w:rsidRPr="00A322E7">
        <w:rPr>
          <w:color w:val="000000"/>
          <w:sz w:val="28"/>
          <w:szCs w:val="28"/>
        </w:rPr>
        <w:t xml:space="preserve">understandably) </w:t>
      </w:r>
      <w:r w:rsidR="002031EB" w:rsidRPr="00A322E7">
        <w:rPr>
          <w:color w:val="000000"/>
          <w:sz w:val="28"/>
          <w:szCs w:val="28"/>
        </w:rPr>
        <w:t xml:space="preserve">unable </w:t>
      </w:r>
      <w:r w:rsidR="00EC26CA" w:rsidRPr="00A322E7">
        <w:rPr>
          <w:color w:val="000000"/>
          <w:sz w:val="28"/>
          <w:szCs w:val="28"/>
        </w:rPr>
        <w:t>to do</w:t>
      </w:r>
      <w:r w:rsidR="009F1827" w:rsidRPr="00A322E7">
        <w:rPr>
          <w:color w:val="000000"/>
          <w:sz w:val="28"/>
          <w:szCs w:val="28"/>
        </w:rPr>
        <w:t xml:space="preserve"> </w:t>
      </w:r>
      <w:r w:rsidR="008F779E" w:rsidRPr="00A322E7">
        <w:rPr>
          <w:color w:val="000000"/>
          <w:sz w:val="28"/>
          <w:szCs w:val="28"/>
        </w:rPr>
        <w:t>so</w:t>
      </w:r>
      <w:r w:rsidR="009F1827" w:rsidRPr="00A322E7">
        <w:rPr>
          <w:color w:val="000000"/>
          <w:sz w:val="28"/>
          <w:szCs w:val="28"/>
        </w:rPr>
        <w:t>, t</w:t>
      </w:r>
      <w:r w:rsidR="00EC26CA" w:rsidRPr="00A322E7">
        <w:rPr>
          <w:color w:val="000000"/>
          <w:sz w:val="28"/>
          <w:szCs w:val="28"/>
        </w:rPr>
        <w:t xml:space="preserve">he EAC has filed a petition – the third – </w:t>
      </w:r>
      <w:r w:rsidR="00EC58D4" w:rsidRPr="00A322E7">
        <w:rPr>
          <w:color w:val="000000"/>
          <w:sz w:val="28"/>
          <w:szCs w:val="28"/>
        </w:rPr>
        <w:t>proposing that the Court amend ER 1.2(d)</w:t>
      </w:r>
      <w:r w:rsidR="002031EB" w:rsidRPr="00A322E7">
        <w:rPr>
          <w:color w:val="000000"/>
          <w:sz w:val="28"/>
          <w:szCs w:val="28"/>
        </w:rPr>
        <w:t>. Barring that, the EAC suggests that the Court could refer the matter back to it but “with directions.”</w:t>
      </w:r>
    </w:p>
    <w:p w14:paraId="1BBDFBCA" w14:textId="224D34FD" w:rsidR="0099203F" w:rsidRPr="00A322E7" w:rsidRDefault="009F1827" w:rsidP="0099203F">
      <w:pPr>
        <w:spacing w:line="480" w:lineRule="auto"/>
        <w:ind w:firstLine="720"/>
        <w:jc w:val="both"/>
        <w:rPr>
          <w:color w:val="000000"/>
          <w:sz w:val="28"/>
          <w:szCs w:val="28"/>
        </w:rPr>
      </w:pPr>
      <w:r w:rsidRPr="00A322E7">
        <w:rPr>
          <w:color w:val="000000"/>
          <w:sz w:val="28"/>
          <w:szCs w:val="28"/>
        </w:rPr>
        <w:t xml:space="preserve">In my two </w:t>
      </w:r>
      <w:r w:rsidR="002031EB" w:rsidRPr="00A322E7">
        <w:rPr>
          <w:color w:val="000000"/>
          <w:sz w:val="28"/>
          <w:szCs w:val="28"/>
        </w:rPr>
        <w:t xml:space="preserve">rule-change </w:t>
      </w:r>
      <w:r w:rsidR="003B139D" w:rsidRPr="00A322E7">
        <w:rPr>
          <w:color w:val="000000"/>
          <w:sz w:val="28"/>
          <w:szCs w:val="28"/>
        </w:rPr>
        <w:t>petitions, I had</w:t>
      </w:r>
      <w:r w:rsidR="00551965" w:rsidRPr="00A322E7">
        <w:rPr>
          <w:color w:val="000000"/>
          <w:sz w:val="28"/>
          <w:szCs w:val="28"/>
        </w:rPr>
        <w:t xml:space="preserve"> proposed </w:t>
      </w:r>
      <w:r w:rsidR="006308F0" w:rsidRPr="00A322E7">
        <w:rPr>
          <w:color w:val="000000"/>
          <w:sz w:val="28"/>
          <w:szCs w:val="28"/>
        </w:rPr>
        <w:t xml:space="preserve">that the </w:t>
      </w:r>
      <w:r w:rsidR="00AD4A0F" w:rsidRPr="00A322E7">
        <w:rPr>
          <w:color w:val="000000"/>
          <w:sz w:val="28"/>
          <w:szCs w:val="28"/>
        </w:rPr>
        <w:t>C</w:t>
      </w:r>
      <w:r w:rsidR="006308F0" w:rsidRPr="00A322E7">
        <w:rPr>
          <w:color w:val="000000"/>
          <w:sz w:val="28"/>
          <w:szCs w:val="28"/>
        </w:rPr>
        <w:t xml:space="preserve">ourt </w:t>
      </w:r>
      <w:r w:rsidR="002031EB" w:rsidRPr="00A322E7">
        <w:rPr>
          <w:color w:val="000000"/>
          <w:sz w:val="28"/>
          <w:szCs w:val="28"/>
        </w:rPr>
        <w:t xml:space="preserve">follow how Connecticut had resolved the tension between its version of ER 1.2(d) and </w:t>
      </w:r>
      <w:r w:rsidR="00A322E7" w:rsidRPr="00A322E7">
        <w:rPr>
          <w:color w:val="000000"/>
          <w:sz w:val="28"/>
          <w:szCs w:val="28"/>
        </w:rPr>
        <w:t xml:space="preserve">state authorization of </w:t>
      </w:r>
      <w:r w:rsidR="002031EB" w:rsidRPr="00A322E7">
        <w:rPr>
          <w:color w:val="000000"/>
          <w:sz w:val="28"/>
          <w:szCs w:val="28"/>
        </w:rPr>
        <w:t>medical marijuan</w:t>
      </w:r>
      <w:r w:rsidR="0099203F">
        <w:rPr>
          <w:color w:val="000000"/>
          <w:sz w:val="28"/>
          <w:szCs w:val="28"/>
        </w:rPr>
        <w:t>a:</w:t>
      </w:r>
    </w:p>
    <w:p w14:paraId="049776FF" w14:textId="6E5DE0D7" w:rsidR="00551965" w:rsidRPr="00A322E7" w:rsidRDefault="00551965" w:rsidP="009F1827">
      <w:pPr>
        <w:ind w:left="720" w:right="720"/>
        <w:jc w:val="both"/>
        <w:rPr>
          <w:sz w:val="28"/>
          <w:szCs w:val="28"/>
        </w:rPr>
      </w:pPr>
      <w:r w:rsidRPr="00A322E7">
        <w:rPr>
          <w:sz w:val="28"/>
          <w:szCs w:val="28"/>
        </w:rPr>
        <w:t xml:space="preserve">A lawyer shall not counsel a client to engage, or assist a client, in conduct that the lawyer knows is criminal or fraudulent, but a lawyer may </w:t>
      </w:r>
      <w:r w:rsidRPr="00A322E7">
        <w:rPr>
          <w:sz w:val="28"/>
          <w:szCs w:val="28"/>
          <w:u w:val="single"/>
        </w:rPr>
        <w:t>(1)</w:t>
      </w:r>
      <w:r w:rsidRPr="00A322E7">
        <w:rPr>
          <w:sz w:val="28"/>
          <w:szCs w:val="28"/>
        </w:rPr>
        <w:t xml:space="preserve"> discuss the legal consequences of any proposed course of conduct with a client</w:t>
      </w:r>
      <w:r w:rsidRPr="00A322E7">
        <w:rPr>
          <w:sz w:val="28"/>
          <w:szCs w:val="28"/>
          <w:u w:val="single"/>
        </w:rPr>
        <w:t>; (2)</w:t>
      </w:r>
      <w:r w:rsidRPr="00A322E7">
        <w:rPr>
          <w:sz w:val="28"/>
          <w:szCs w:val="28"/>
        </w:rPr>
        <w:t xml:space="preserve"> </w:t>
      </w:r>
      <w:r w:rsidRPr="00A322E7">
        <w:rPr>
          <w:strike/>
          <w:sz w:val="28"/>
          <w:szCs w:val="28"/>
        </w:rPr>
        <w:t>and</w:t>
      </w:r>
      <w:r w:rsidRPr="00A322E7">
        <w:rPr>
          <w:sz w:val="28"/>
          <w:szCs w:val="28"/>
        </w:rPr>
        <w:t xml:space="preserve"> </w:t>
      </w:r>
      <w:r w:rsidRPr="00A322E7">
        <w:rPr>
          <w:strike/>
          <w:sz w:val="28"/>
          <w:szCs w:val="28"/>
        </w:rPr>
        <w:t>may</w:t>
      </w:r>
      <w:r w:rsidRPr="00A322E7">
        <w:rPr>
          <w:sz w:val="28"/>
          <w:szCs w:val="28"/>
        </w:rPr>
        <w:t xml:space="preserve"> counsel or assist a client to make a good faith effort to determine the validity, scope, meaning or application of the law</w:t>
      </w:r>
      <w:r w:rsidRPr="00A322E7">
        <w:rPr>
          <w:strike/>
          <w:sz w:val="28"/>
          <w:szCs w:val="28"/>
        </w:rPr>
        <w:t>.</w:t>
      </w:r>
      <w:r w:rsidRPr="00A322E7">
        <w:rPr>
          <w:sz w:val="28"/>
          <w:szCs w:val="28"/>
          <w:u w:val="single"/>
        </w:rPr>
        <w:t>; or (3) counsel or assist a client regarding conduct expressly permitted by Arizona law, provided that the lawyer counsels the client about the legal consequences, under other applicable law, of the client’s proposed course of conduct</w:t>
      </w:r>
      <w:r w:rsidRPr="00A322E7">
        <w:rPr>
          <w:sz w:val="28"/>
          <w:szCs w:val="28"/>
        </w:rPr>
        <w:t>.</w:t>
      </w:r>
    </w:p>
    <w:p w14:paraId="22877744" w14:textId="77777777" w:rsidR="009F1827" w:rsidRPr="00A322E7" w:rsidRDefault="009F1827" w:rsidP="009F1827">
      <w:pPr>
        <w:ind w:left="720" w:right="720"/>
        <w:jc w:val="both"/>
        <w:rPr>
          <w:sz w:val="28"/>
          <w:szCs w:val="28"/>
        </w:rPr>
      </w:pPr>
    </w:p>
    <w:p w14:paraId="0B5CDA97" w14:textId="21DFC937" w:rsidR="003B139D" w:rsidRPr="00A322E7" w:rsidRDefault="003B139D" w:rsidP="00856FDA">
      <w:pPr>
        <w:tabs>
          <w:tab w:val="left" w:pos="-1200"/>
          <w:tab w:val="left" w:pos="-720"/>
          <w:tab w:val="left" w:pos="720"/>
          <w:tab w:val="left" w:pos="81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sz w:val="28"/>
          <w:szCs w:val="28"/>
        </w:rPr>
      </w:pPr>
      <w:r w:rsidRPr="00A322E7">
        <w:rPr>
          <w:sz w:val="28"/>
          <w:szCs w:val="28"/>
        </w:rPr>
        <w:tab/>
      </w:r>
      <w:r w:rsidR="002031EB" w:rsidRPr="00A322E7">
        <w:rPr>
          <w:sz w:val="28"/>
          <w:szCs w:val="28"/>
        </w:rPr>
        <w:t>T</w:t>
      </w:r>
      <w:r w:rsidRPr="00A322E7">
        <w:rPr>
          <w:sz w:val="28"/>
          <w:szCs w:val="28"/>
        </w:rPr>
        <w:t xml:space="preserve">he EAC proposes </w:t>
      </w:r>
      <w:r w:rsidR="009F1827" w:rsidRPr="00A322E7">
        <w:rPr>
          <w:sz w:val="28"/>
          <w:szCs w:val="28"/>
        </w:rPr>
        <w:t xml:space="preserve">following the Pennsylvania Supreme Court and </w:t>
      </w:r>
      <w:r w:rsidRPr="00A322E7">
        <w:rPr>
          <w:sz w:val="28"/>
          <w:szCs w:val="28"/>
        </w:rPr>
        <w:t>adding a new ER 1.2(e)</w:t>
      </w:r>
      <w:r w:rsidR="002031EB" w:rsidRPr="00A322E7">
        <w:rPr>
          <w:sz w:val="28"/>
          <w:szCs w:val="28"/>
        </w:rPr>
        <w:t xml:space="preserve">, which </w:t>
      </w:r>
      <w:r w:rsidRPr="00A322E7">
        <w:rPr>
          <w:sz w:val="28"/>
          <w:szCs w:val="28"/>
        </w:rPr>
        <w:t>achieves the same result</w:t>
      </w:r>
      <w:r w:rsidR="002031EB" w:rsidRPr="00A322E7">
        <w:rPr>
          <w:sz w:val="28"/>
          <w:szCs w:val="28"/>
        </w:rPr>
        <w:t>:</w:t>
      </w:r>
    </w:p>
    <w:p w14:paraId="1AF2EA42" w14:textId="4C860F47" w:rsidR="00551965" w:rsidRPr="00A322E7" w:rsidRDefault="00551965" w:rsidP="003B139D">
      <w:pPr>
        <w:tabs>
          <w:tab w:val="left" w:pos="-1200"/>
          <w:tab w:val="left" w:pos="-720"/>
          <w:tab w:val="left" w:pos="720"/>
          <w:tab w:val="left" w:pos="81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720"/>
        <w:jc w:val="both"/>
        <w:rPr>
          <w:sz w:val="28"/>
          <w:szCs w:val="28"/>
          <w:u w:val="single"/>
        </w:rPr>
      </w:pPr>
      <w:r w:rsidRPr="00A322E7">
        <w:rPr>
          <w:sz w:val="28"/>
          <w:szCs w:val="28"/>
          <w:u w:val="single"/>
        </w:rPr>
        <w:t xml:space="preserve">(e) Notwithstanding subsection (d), a lawyer may counsel or assist a </w:t>
      </w:r>
      <w:r w:rsidRPr="00A322E7">
        <w:rPr>
          <w:sz w:val="28"/>
          <w:szCs w:val="28"/>
          <w:u w:val="single"/>
        </w:rPr>
        <w:lastRenderedPageBreak/>
        <w:t>client regarding conduct expressly permitted by Arizona law, provided that the lawyer counsels the client about the legal consequences, under other applicable law, of the client’s proposed course of conduct.</w:t>
      </w:r>
    </w:p>
    <w:p w14:paraId="4E04FF18" w14:textId="30BB0F91" w:rsidR="003B139D" w:rsidRPr="00A322E7" w:rsidRDefault="003B139D" w:rsidP="003B139D">
      <w:pPr>
        <w:tabs>
          <w:tab w:val="left" w:pos="-1200"/>
          <w:tab w:val="left" w:pos="-720"/>
          <w:tab w:val="left" w:pos="720"/>
          <w:tab w:val="left" w:pos="81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720"/>
        <w:jc w:val="both"/>
        <w:rPr>
          <w:sz w:val="28"/>
          <w:szCs w:val="28"/>
          <w:u w:val="single"/>
        </w:rPr>
      </w:pPr>
    </w:p>
    <w:p w14:paraId="1A7067C3" w14:textId="6E7C0A91" w:rsidR="00AD4A0F" w:rsidRPr="00A322E7" w:rsidRDefault="00F76B62" w:rsidP="009F1827">
      <w:pPr>
        <w:tabs>
          <w:tab w:val="left" w:pos="-1200"/>
          <w:tab w:val="left" w:pos="-720"/>
          <w:tab w:val="left" w:pos="720"/>
          <w:tab w:val="left" w:pos="81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sz w:val="28"/>
          <w:szCs w:val="28"/>
        </w:rPr>
      </w:pPr>
      <w:r w:rsidRPr="00A322E7">
        <w:rPr>
          <w:sz w:val="28"/>
          <w:szCs w:val="28"/>
        </w:rPr>
        <w:tab/>
      </w:r>
      <w:r w:rsidR="00AD4A0F" w:rsidRPr="00A322E7">
        <w:rPr>
          <w:sz w:val="28"/>
          <w:szCs w:val="28"/>
        </w:rPr>
        <w:t xml:space="preserve">Either </w:t>
      </w:r>
      <w:r w:rsidR="00A322E7" w:rsidRPr="00A322E7">
        <w:rPr>
          <w:sz w:val="28"/>
          <w:szCs w:val="28"/>
        </w:rPr>
        <w:t>rule change</w:t>
      </w:r>
      <w:r w:rsidR="00AD4A0F" w:rsidRPr="00A322E7">
        <w:rPr>
          <w:sz w:val="28"/>
          <w:szCs w:val="28"/>
        </w:rPr>
        <w:t xml:space="preserve"> would provide Arizona lawyers with certainty. Either </w:t>
      </w:r>
      <w:r w:rsidR="0099203F">
        <w:rPr>
          <w:sz w:val="28"/>
          <w:szCs w:val="28"/>
        </w:rPr>
        <w:t xml:space="preserve">also </w:t>
      </w:r>
      <w:r w:rsidR="00AD4A0F" w:rsidRPr="00A322E7">
        <w:rPr>
          <w:sz w:val="28"/>
          <w:szCs w:val="28"/>
        </w:rPr>
        <w:t xml:space="preserve">would </w:t>
      </w:r>
      <w:r w:rsidR="008F779E" w:rsidRPr="00A322E7">
        <w:rPr>
          <w:sz w:val="28"/>
          <w:szCs w:val="28"/>
        </w:rPr>
        <w:t>resolve what I view as questions of</w:t>
      </w:r>
      <w:r w:rsidR="00AD4A0F" w:rsidRPr="00A322E7">
        <w:rPr>
          <w:sz w:val="28"/>
          <w:szCs w:val="28"/>
        </w:rPr>
        <w:t xml:space="preserve"> </w:t>
      </w:r>
      <w:r w:rsidR="008F779E" w:rsidRPr="00A322E7">
        <w:rPr>
          <w:sz w:val="28"/>
          <w:szCs w:val="28"/>
        </w:rPr>
        <w:t>system</w:t>
      </w:r>
      <w:r w:rsidR="00AD4A0F" w:rsidRPr="00A322E7">
        <w:rPr>
          <w:sz w:val="28"/>
          <w:szCs w:val="28"/>
        </w:rPr>
        <w:t xml:space="preserve"> integrity</w:t>
      </w:r>
      <w:r w:rsidR="008F779E" w:rsidRPr="00A322E7">
        <w:rPr>
          <w:sz w:val="28"/>
          <w:szCs w:val="28"/>
        </w:rPr>
        <w:t xml:space="preserve">, which I detailed on page 4 of my </w:t>
      </w:r>
      <w:r w:rsidR="00A322E7" w:rsidRPr="00A322E7">
        <w:rPr>
          <w:sz w:val="28"/>
          <w:szCs w:val="28"/>
        </w:rPr>
        <w:t xml:space="preserve">EAC </w:t>
      </w:r>
      <w:r w:rsidR="008F779E" w:rsidRPr="00A322E7">
        <w:rPr>
          <w:sz w:val="28"/>
          <w:szCs w:val="28"/>
        </w:rPr>
        <w:t>opinion request.</w:t>
      </w:r>
    </w:p>
    <w:p w14:paraId="4526859B" w14:textId="6F3C04FD" w:rsidR="00EB3C34" w:rsidRPr="00A322E7" w:rsidRDefault="00AD4A0F" w:rsidP="008F779E">
      <w:pPr>
        <w:tabs>
          <w:tab w:val="left" w:pos="-1200"/>
          <w:tab w:val="left" w:pos="-720"/>
          <w:tab w:val="left" w:pos="720"/>
          <w:tab w:val="left" w:pos="81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sz w:val="28"/>
          <w:szCs w:val="28"/>
        </w:rPr>
      </w:pPr>
      <w:r w:rsidRPr="00A322E7">
        <w:rPr>
          <w:sz w:val="28"/>
          <w:szCs w:val="28"/>
        </w:rPr>
        <w:tab/>
        <w:t xml:space="preserve">My </w:t>
      </w:r>
      <w:r w:rsidR="00F76B62" w:rsidRPr="00A322E7">
        <w:rPr>
          <w:sz w:val="28"/>
          <w:szCs w:val="28"/>
        </w:rPr>
        <w:t xml:space="preserve">previous rule-change petitions plus my EAC opinion request more than adequately explain </w:t>
      </w:r>
      <w:r w:rsidR="00856FDA" w:rsidRPr="00A322E7">
        <w:rPr>
          <w:sz w:val="28"/>
          <w:szCs w:val="28"/>
        </w:rPr>
        <w:t>why I</w:t>
      </w:r>
      <w:r w:rsidR="00F76B62" w:rsidRPr="00A322E7">
        <w:rPr>
          <w:sz w:val="28"/>
          <w:szCs w:val="28"/>
        </w:rPr>
        <w:t xml:space="preserve"> support the EAC’s proposed </w:t>
      </w:r>
      <w:r w:rsidR="00856FDA" w:rsidRPr="00A322E7">
        <w:rPr>
          <w:sz w:val="28"/>
          <w:szCs w:val="28"/>
        </w:rPr>
        <w:t>amendments</w:t>
      </w:r>
      <w:r w:rsidR="009F1827" w:rsidRPr="00A322E7">
        <w:rPr>
          <w:sz w:val="28"/>
          <w:szCs w:val="28"/>
        </w:rPr>
        <w:t>, a</w:t>
      </w:r>
      <w:r w:rsidR="00856FDA" w:rsidRPr="00A322E7">
        <w:rPr>
          <w:sz w:val="28"/>
          <w:szCs w:val="28"/>
        </w:rPr>
        <w:t>nd I incorporate those legal and policy arguments in this comment.</w:t>
      </w:r>
    </w:p>
    <w:p w14:paraId="5A1534CD" w14:textId="42E0E311" w:rsidR="00472C18" w:rsidRPr="00A322E7" w:rsidRDefault="00472C18" w:rsidP="00856FDA">
      <w:pPr>
        <w:spacing w:line="480" w:lineRule="auto"/>
        <w:ind w:right="18" w:firstLine="720"/>
        <w:jc w:val="both"/>
        <w:rPr>
          <w:color w:val="000000"/>
          <w:sz w:val="28"/>
          <w:szCs w:val="28"/>
        </w:rPr>
      </w:pPr>
      <w:r w:rsidRPr="00A322E7">
        <w:rPr>
          <w:color w:val="000000"/>
          <w:sz w:val="28"/>
          <w:szCs w:val="28"/>
        </w:rPr>
        <w:t>R</w:t>
      </w:r>
      <w:r w:rsidR="00723838" w:rsidRPr="00A322E7">
        <w:rPr>
          <w:color w:val="000000"/>
          <w:sz w:val="28"/>
          <w:szCs w:val="28"/>
        </w:rPr>
        <w:t xml:space="preserve">espectfully submitted </w:t>
      </w:r>
      <w:r w:rsidR="00856FDA" w:rsidRPr="00A322E7">
        <w:rPr>
          <w:color w:val="000000"/>
          <w:sz w:val="28"/>
          <w:szCs w:val="28"/>
        </w:rPr>
        <w:t xml:space="preserve">April </w:t>
      </w:r>
      <w:r w:rsidR="005036B2">
        <w:rPr>
          <w:color w:val="000000"/>
          <w:sz w:val="28"/>
          <w:szCs w:val="28"/>
        </w:rPr>
        <w:t>29</w:t>
      </w:r>
      <w:r w:rsidR="008F779E" w:rsidRPr="00A322E7">
        <w:rPr>
          <w:color w:val="000000"/>
          <w:sz w:val="28"/>
          <w:szCs w:val="28"/>
        </w:rPr>
        <w:t>,</w:t>
      </w:r>
      <w:r w:rsidR="00856FDA" w:rsidRPr="00A322E7">
        <w:rPr>
          <w:color w:val="000000"/>
          <w:sz w:val="28"/>
          <w:szCs w:val="28"/>
        </w:rPr>
        <w:t xml:space="preserve"> 2022</w:t>
      </w:r>
      <w:r w:rsidRPr="00A322E7">
        <w:rPr>
          <w:color w:val="000000"/>
          <w:sz w:val="28"/>
          <w:szCs w:val="28"/>
        </w:rPr>
        <w:t>.</w:t>
      </w:r>
    </w:p>
    <w:p w14:paraId="1DFB54EC" w14:textId="77777777" w:rsidR="00BD348F" w:rsidRPr="00A322E7" w:rsidRDefault="00BD348F" w:rsidP="0060070E">
      <w:pPr>
        <w:spacing w:line="480" w:lineRule="auto"/>
        <w:ind w:right="18"/>
        <w:jc w:val="both"/>
        <w:rPr>
          <w:color w:val="000000"/>
          <w:sz w:val="28"/>
          <w:szCs w:val="28"/>
        </w:rPr>
      </w:pPr>
    </w:p>
    <w:p w14:paraId="7A977B7A" w14:textId="0C80E4E1" w:rsidR="00472C18" w:rsidRPr="00A322E7" w:rsidRDefault="00472C18" w:rsidP="0015608B">
      <w:pPr>
        <w:ind w:left="4770" w:right="18" w:hanging="450"/>
        <w:jc w:val="both"/>
        <w:rPr>
          <w:color w:val="000000"/>
          <w:sz w:val="28"/>
          <w:szCs w:val="28"/>
          <w:u w:val="single"/>
        </w:rPr>
      </w:pPr>
      <w:r w:rsidRPr="00A322E7">
        <w:rPr>
          <w:color w:val="000000"/>
          <w:sz w:val="28"/>
          <w:szCs w:val="28"/>
        </w:rPr>
        <w:t xml:space="preserve">By  </w:t>
      </w:r>
      <w:r w:rsidRPr="00A322E7">
        <w:rPr>
          <w:color w:val="000000"/>
          <w:sz w:val="28"/>
          <w:szCs w:val="28"/>
          <w:u w:val="single"/>
        </w:rPr>
        <w:tab/>
      </w:r>
      <w:r w:rsidRPr="00A322E7">
        <w:rPr>
          <w:color w:val="000000"/>
          <w:sz w:val="28"/>
          <w:szCs w:val="28"/>
          <w:u w:val="single"/>
        </w:rPr>
        <w:tab/>
      </w:r>
      <w:r w:rsidRPr="00A322E7">
        <w:rPr>
          <w:color w:val="000000"/>
          <w:sz w:val="28"/>
          <w:szCs w:val="28"/>
          <w:u w:val="single"/>
        </w:rPr>
        <w:tab/>
      </w:r>
      <w:r w:rsidRPr="00A322E7">
        <w:rPr>
          <w:color w:val="000000"/>
          <w:sz w:val="28"/>
          <w:szCs w:val="28"/>
          <w:u w:val="single"/>
        </w:rPr>
        <w:tab/>
      </w:r>
      <w:r w:rsidRPr="00A322E7">
        <w:rPr>
          <w:color w:val="000000"/>
          <w:sz w:val="28"/>
          <w:szCs w:val="28"/>
          <w:u w:val="single"/>
        </w:rPr>
        <w:tab/>
      </w:r>
      <w:r w:rsidRPr="00A322E7">
        <w:rPr>
          <w:color w:val="000000"/>
          <w:sz w:val="28"/>
          <w:szCs w:val="28"/>
          <w:u w:val="single"/>
        </w:rPr>
        <w:tab/>
      </w:r>
    </w:p>
    <w:p w14:paraId="206903D0" w14:textId="77777777" w:rsidR="00472C18" w:rsidRPr="00A322E7" w:rsidRDefault="00472C18" w:rsidP="0015608B">
      <w:pPr>
        <w:ind w:left="4766" w:right="14"/>
        <w:jc w:val="both"/>
        <w:rPr>
          <w:color w:val="000000"/>
          <w:sz w:val="28"/>
          <w:szCs w:val="28"/>
        </w:rPr>
      </w:pPr>
      <w:r w:rsidRPr="00A322E7">
        <w:rPr>
          <w:color w:val="000000"/>
          <w:sz w:val="28"/>
          <w:szCs w:val="28"/>
        </w:rPr>
        <w:t>Patricia A. Sallen</w:t>
      </w:r>
    </w:p>
    <w:p w14:paraId="78C95902" w14:textId="0F7D3828" w:rsidR="00CC0B6A" w:rsidRPr="00A322E7" w:rsidRDefault="00856FDA" w:rsidP="00856FDA">
      <w:pPr>
        <w:tabs>
          <w:tab w:val="left" w:pos="4770"/>
        </w:tabs>
        <w:spacing w:line="480" w:lineRule="auto"/>
        <w:jc w:val="both"/>
        <w:rPr>
          <w:sz w:val="28"/>
          <w:szCs w:val="28"/>
        </w:rPr>
      </w:pPr>
      <w:r w:rsidRPr="00A322E7">
        <w:rPr>
          <w:color w:val="000000"/>
          <w:sz w:val="28"/>
          <w:szCs w:val="28"/>
        </w:rPr>
        <w:tab/>
        <w:t>Ethics at Law PLLC</w:t>
      </w:r>
    </w:p>
    <w:sectPr w:rsidR="00CC0B6A" w:rsidRPr="00A322E7" w:rsidSect="0086011A">
      <w:footerReference w:type="default" r:id="rId8"/>
      <w:pgSz w:w="12240" w:h="15840"/>
      <w:pgMar w:top="1440" w:right="1440" w:bottom="1440" w:left="1440" w:header="720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577B" w14:textId="77777777" w:rsidR="00163522" w:rsidRDefault="00163522" w:rsidP="007B1902">
      <w:r>
        <w:separator/>
      </w:r>
    </w:p>
  </w:endnote>
  <w:endnote w:type="continuationSeparator" w:id="0">
    <w:p w14:paraId="7B83031D" w14:textId="77777777" w:rsidR="00163522" w:rsidRDefault="00163522" w:rsidP="007B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849806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C0792B5" w14:textId="77777777" w:rsidR="00AA0A3C" w:rsidRPr="00353DFA" w:rsidRDefault="00AA0A3C">
        <w:pPr>
          <w:pStyle w:val="Footer"/>
          <w:jc w:val="center"/>
          <w:rPr>
            <w:sz w:val="28"/>
            <w:szCs w:val="28"/>
          </w:rPr>
        </w:pPr>
        <w:r w:rsidRPr="00353DFA">
          <w:rPr>
            <w:sz w:val="28"/>
            <w:szCs w:val="28"/>
          </w:rPr>
          <w:fldChar w:fldCharType="begin"/>
        </w:r>
        <w:r w:rsidRPr="00353DFA">
          <w:rPr>
            <w:sz w:val="28"/>
            <w:szCs w:val="28"/>
          </w:rPr>
          <w:instrText xml:space="preserve"> PAGE   \* MERGEFORMAT </w:instrText>
        </w:r>
        <w:r w:rsidRPr="00353DFA">
          <w:rPr>
            <w:sz w:val="28"/>
            <w:szCs w:val="28"/>
          </w:rPr>
          <w:fldChar w:fldCharType="separate"/>
        </w:r>
        <w:r w:rsidR="00EB3C34">
          <w:rPr>
            <w:noProof/>
            <w:sz w:val="28"/>
            <w:szCs w:val="28"/>
          </w:rPr>
          <w:t>10</w:t>
        </w:r>
        <w:r w:rsidRPr="00353DFA">
          <w:rPr>
            <w:noProof/>
            <w:sz w:val="28"/>
            <w:szCs w:val="28"/>
          </w:rPr>
          <w:fldChar w:fldCharType="end"/>
        </w:r>
      </w:p>
    </w:sdtContent>
  </w:sdt>
  <w:p w14:paraId="1993E566" w14:textId="77777777" w:rsidR="00AA0A3C" w:rsidRDefault="00AA0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C4D1" w14:textId="77777777" w:rsidR="00163522" w:rsidRDefault="00163522" w:rsidP="007B1902">
      <w:r>
        <w:separator/>
      </w:r>
    </w:p>
  </w:footnote>
  <w:footnote w:type="continuationSeparator" w:id="0">
    <w:p w14:paraId="4E7DF2FC" w14:textId="77777777" w:rsidR="00163522" w:rsidRDefault="00163522" w:rsidP="007B1902">
      <w:r>
        <w:continuationSeparator/>
      </w:r>
    </w:p>
  </w:footnote>
  <w:footnote w:id="1">
    <w:p w14:paraId="72AA4D53" w14:textId="0FA2F0DD" w:rsidR="009F1827" w:rsidRPr="00EC58D4" w:rsidRDefault="009F1827" w:rsidP="008F779E">
      <w:pPr>
        <w:pStyle w:val="FootnoteText"/>
        <w:jc w:val="both"/>
        <w:rPr>
          <w:sz w:val="28"/>
          <w:szCs w:val="28"/>
        </w:rPr>
      </w:pPr>
      <w:r w:rsidRPr="00EC58D4">
        <w:rPr>
          <w:rStyle w:val="FootnoteReference"/>
          <w:sz w:val="28"/>
          <w:szCs w:val="28"/>
          <w:vertAlign w:val="superscript"/>
        </w:rPr>
        <w:footnoteRef/>
      </w:r>
      <w:r w:rsidRPr="00EC58D4">
        <w:rPr>
          <w:sz w:val="28"/>
          <w:szCs w:val="28"/>
          <w:vertAlign w:val="superscript"/>
        </w:rPr>
        <w:t xml:space="preserve"> </w:t>
      </w:r>
      <w:r w:rsidRPr="00EC58D4">
        <w:rPr>
          <w:sz w:val="28"/>
          <w:szCs w:val="28"/>
        </w:rPr>
        <w:t>My opinion request, albeit with identifying information redacted, is attached to the EAC’s rule-change petition.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8BD"/>
    <w:multiLevelType w:val="hybridMultilevel"/>
    <w:tmpl w:val="C7767C02"/>
    <w:lvl w:ilvl="0" w:tplc="15907480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86474F"/>
    <w:multiLevelType w:val="hybridMultilevel"/>
    <w:tmpl w:val="FEB02CA0"/>
    <w:lvl w:ilvl="0" w:tplc="FE3040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F58A6"/>
    <w:multiLevelType w:val="hybridMultilevel"/>
    <w:tmpl w:val="D7489B10"/>
    <w:lvl w:ilvl="0" w:tplc="9556A0CA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DA6275"/>
    <w:multiLevelType w:val="hybridMultilevel"/>
    <w:tmpl w:val="FD5A0D74"/>
    <w:lvl w:ilvl="0" w:tplc="6644947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6320F"/>
    <w:multiLevelType w:val="hybridMultilevel"/>
    <w:tmpl w:val="F61AF4B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D5388"/>
    <w:multiLevelType w:val="hybridMultilevel"/>
    <w:tmpl w:val="7A50B0E0"/>
    <w:lvl w:ilvl="0" w:tplc="2422A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0709F"/>
    <w:multiLevelType w:val="hybridMultilevel"/>
    <w:tmpl w:val="BD72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D0751"/>
    <w:multiLevelType w:val="hybridMultilevel"/>
    <w:tmpl w:val="83362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945CD2"/>
    <w:multiLevelType w:val="hybridMultilevel"/>
    <w:tmpl w:val="C6566B38"/>
    <w:lvl w:ilvl="0" w:tplc="971481B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66F24"/>
    <w:multiLevelType w:val="multilevel"/>
    <w:tmpl w:val="15CA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103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4184863">
    <w:abstractNumId w:val="8"/>
  </w:num>
  <w:num w:numId="3" w16cid:durableId="776027664">
    <w:abstractNumId w:val="3"/>
  </w:num>
  <w:num w:numId="4" w16cid:durableId="483013690">
    <w:abstractNumId w:val="6"/>
  </w:num>
  <w:num w:numId="5" w16cid:durableId="1699046304">
    <w:abstractNumId w:val="1"/>
  </w:num>
  <w:num w:numId="6" w16cid:durableId="152110839">
    <w:abstractNumId w:val="0"/>
  </w:num>
  <w:num w:numId="7" w16cid:durableId="577249287">
    <w:abstractNumId w:val="4"/>
  </w:num>
  <w:num w:numId="8" w16cid:durableId="516694457">
    <w:abstractNumId w:val="2"/>
  </w:num>
  <w:num w:numId="9" w16cid:durableId="152374379">
    <w:abstractNumId w:val="7"/>
  </w:num>
  <w:num w:numId="10" w16cid:durableId="1713072631">
    <w:abstractNumId w:val="5"/>
  </w:num>
  <w:num w:numId="11" w16cid:durableId="20398151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7A"/>
    <w:rsid w:val="0000412D"/>
    <w:rsid w:val="000129DE"/>
    <w:rsid w:val="00013480"/>
    <w:rsid w:val="00015EF8"/>
    <w:rsid w:val="000165CE"/>
    <w:rsid w:val="00021357"/>
    <w:rsid w:val="0002191D"/>
    <w:rsid w:val="00025175"/>
    <w:rsid w:val="0002675D"/>
    <w:rsid w:val="00027B80"/>
    <w:rsid w:val="00030160"/>
    <w:rsid w:val="0003216B"/>
    <w:rsid w:val="000434D0"/>
    <w:rsid w:val="00043BF9"/>
    <w:rsid w:val="00062D8B"/>
    <w:rsid w:val="00064B3B"/>
    <w:rsid w:val="0007020D"/>
    <w:rsid w:val="0007135F"/>
    <w:rsid w:val="00082E05"/>
    <w:rsid w:val="00083D7A"/>
    <w:rsid w:val="0008675F"/>
    <w:rsid w:val="00086A2C"/>
    <w:rsid w:val="00092683"/>
    <w:rsid w:val="000C7860"/>
    <w:rsid w:val="000D1B07"/>
    <w:rsid w:val="000D405F"/>
    <w:rsid w:val="000D6713"/>
    <w:rsid w:val="000D78AB"/>
    <w:rsid w:val="000E5D9C"/>
    <w:rsid w:val="000E5E55"/>
    <w:rsid w:val="000F2721"/>
    <w:rsid w:val="000F340F"/>
    <w:rsid w:val="000F6188"/>
    <w:rsid w:val="000F723D"/>
    <w:rsid w:val="00102ADC"/>
    <w:rsid w:val="00116074"/>
    <w:rsid w:val="00116676"/>
    <w:rsid w:val="00136D96"/>
    <w:rsid w:val="001446C1"/>
    <w:rsid w:val="0015608B"/>
    <w:rsid w:val="00156155"/>
    <w:rsid w:val="00162A9E"/>
    <w:rsid w:val="00162ACF"/>
    <w:rsid w:val="00162BC2"/>
    <w:rsid w:val="00162DA6"/>
    <w:rsid w:val="00163522"/>
    <w:rsid w:val="001709B9"/>
    <w:rsid w:val="00170C01"/>
    <w:rsid w:val="00174886"/>
    <w:rsid w:val="00176991"/>
    <w:rsid w:val="00182572"/>
    <w:rsid w:val="00191B7C"/>
    <w:rsid w:val="00191BFD"/>
    <w:rsid w:val="00197F5E"/>
    <w:rsid w:val="001A7EC9"/>
    <w:rsid w:val="001B509F"/>
    <w:rsid w:val="001B7D2B"/>
    <w:rsid w:val="001C31D0"/>
    <w:rsid w:val="001C45C2"/>
    <w:rsid w:val="001C6E50"/>
    <w:rsid w:val="001D035E"/>
    <w:rsid w:val="001D2E70"/>
    <w:rsid w:val="001D41C2"/>
    <w:rsid w:val="001E0E4D"/>
    <w:rsid w:val="001E12C9"/>
    <w:rsid w:val="001E144F"/>
    <w:rsid w:val="001E1475"/>
    <w:rsid w:val="001E37B7"/>
    <w:rsid w:val="001E3BCF"/>
    <w:rsid w:val="001F1128"/>
    <w:rsid w:val="001F40ED"/>
    <w:rsid w:val="001F7E4A"/>
    <w:rsid w:val="00202DB0"/>
    <w:rsid w:val="002031EB"/>
    <w:rsid w:val="00210BDE"/>
    <w:rsid w:val="002110DD"/>
    <w:rsid w:val="002170D3"/>
    <w:rsid w:val="00225A67"/>
    <w:rsid w:val="00230115"/>
    <w:rsid w:val="00237115"/>
    <w:rsid w:val="00240548"/>
    <w:rsid w:val="00240A5E"/>
    <w:rsid w:val="00245D8F"/>
    <w:rsid w:val="00263694"/>
    <w:rsid w:val="0026391D"/>
    <w:rsid w:val="0026653A"/>
    <w:rsid w:val="002665A7"/>
    <w:rsid w:val="002750DF"/>
    <w:rsid w:val="00277FEA"/>
    <w:rsid w:val="00284FBD"/>
    <w:rsid w:val="0028522D"/>
    <w:rsid w:val="00286EC4"/>
    <w:rsid w:val="00287BC0"/>
    <w:rsid w:val="00291C6C"/>
    <w:rsid w:val="002941F1"/>
    <w:rsid w:val="00294AD7"/>
    <w:rsid w:val="00294D35"/>
    <w:rsid w:val="00297270"/>
    <w:rsid w:val="00297E31"/>
    <w:rsid w:val="002A7CE6"/>
    <w:rsid w:val="002B1B1F"/>
    <w:rsid w:val="002B7C7E"/>
    <w:rsid w:val="002C4095"/>
    <w:rsid w:val="002C5711"/>
    <w:rsid w:val="002C7394"/>
    <w:rsid w:val="002C7824"/>
    <w:rsid w:val="002D6DCB"/>
    <w:rsid w:val="002E08D2"/>
    <w:rsid w:val="002E0A67"/>
    <w:rsid w:val="002E5402"/>
    <w:rsid w:val="002F2277"/>
    <w:rsid w:val="002F41E8"/>
    <w:rsid w:val="002F4B26"/>
    <w:rsid w:val="002F5D60"/>
    <w:rsid w:val="002F6B54"/>
    <w:rsid w:val="003115EC"/>
    <w:rsid w:val="00315A15"/>
    <w:rsid w:val="003235E1"/>
    <w:rsid w:val="003267A3"/>
    <w:rsid w:val="00336232"/>
    <w:rsid w:val="0034408B"/>
    <w:rsid w:val="00344655"/>
    <w:rsid w:val="00353DFA"/>
    <w:rsid w:val="003640FD"/>
    <w:rsid w:val="003672AB"/>
    <w:rsid w:val="00372CAE"/>
    <w:rsid w:val="00375B35"/>
    <w:rsid w:val="00376CDD"/>
    <w:rsid w:val="0038135C"/>
    <w:rsid w:val="003816DE"/>
    <w:rsid w:val="00383F5C"/>
    <w:rsid w:val="00386B61"/>
    <w:rsid w:val="0039187B"/>
    <w:rsid w:val="00393BA1"/>
    <w:rsid w:val="003A06CC"/>
    <w:rsid w:val="003A098E"/>
    <w:rsid w:val="003A5D69"/>
    <w:rsid w:val="003B139D"/>
    <w:rsid w:val="003B4BF4"/>
    <w:rsid w:val="003C0C10"/>
    <w:rsid w:val="003C22D5"/>
    <w:rsid w:val="003D4469"/>
    <w:rsid w:val="003D4BF2"/>
    <w:rsid w:val="003E093F"/>
    <w:rsid w:val="003E1715"/>
    <w:rsid w:val="003E45D1"/>
    <w:rsid w:val="003F46D6"/>
    <w:rsid w:val="003F63EE"/>
    <w:rsid w:val="00401DCA"/>
    <w:rsid w:val="00402DEF"/>
    <w:rsid w:val="0040695C"/>
    <w:rsid w:val="00410B01"/>
    <w:rsid w:val="00414631"/>
    <w:rsid w:val="0042007C"/>
    <w:rsid w:val="00421B56"/>
    <w:rsid w:val="0042356C"/>
    <w:rsid w:val="00426F92"/>
    <w:rsid w:val="00430DF4"/>
    <w:rsid w:val="0043305D"/>
    <w:rsid w:val="00436459"/>
    <w:rsid w:val="00443BB2"/>
    <w:rsid w:val="00451CC7"/>
    <w:rsid w:val="004576B0"/>
    <w:rsid w:val="00461060"/>
    <w:rsid w:val="0046218B"/>
    <w:rsid w:val="00465102"/>
    <w:rsid w:val="00466918"/>
    <w:rsid w:val="00466ECC"/>
    <w:rsid w:val="00467166"/>
    <w:rsid w:val="004673EC"/>
    <w:rsid w:val="00472C18"/>
    <w:rsid w:val="00473A50"/>
    <w:rsid w:val="004805F2"/>
    <w:rsid w:val="00482442"/>
    <w:rsid w:val="00493DA5"/>
    <w:rsid w:val="00494378"/>
    <w:rsid w:val="004A1116"/>
    <w:rsid w:val="004A1DA1"/>
    <w:rsid w:val="004B27F7"/>
    <w:rsid w:val="004C0376"/>
    <w:rsid w:val="004D1F8E"/>
    <w:rsid w:val="004D5309"/>
    <w:rsid w:val="004E4130"/>
    <w:rsid w:val="004E68C8"/>
    <w:rsid w:val="004F084A"/>
    <w:rsid w:val="004F514D"/>
    <w:rsid w:val="005007D4"/>
    <w:rsid w:val="005036B2"/>
    <w:rsid w:val="00503987"/>
    <w:rsid w:val="005060AD"/>
    <w:rsid w:val="0050664A"/>
    <w:rsid w:val="00514A65"/>
    <w:rsid w:val="0052680E"/>
    <w:rsid w:val="00526CA6"/>
    <w:rsid w:val="0052767A"/>
    <w:rsid w:val="00541978"/>
    <w:rsid w:val="00542C16"/>
    <w:rsid w:val="005448E7"/>
    <w:rsid w:val="005504F6"/>
    <w:rsid w:val="005509BD"/>
    <w:rsid w:val="00551965"/>
    <w:rsid w:val="005532BA"/>
    <w:rsid w:val="00553568"/>
    <w:rsid w:val="00554BF3"/>
    <w:rsid w:val="00560228"/>
    <w:rsid w:val="00560513"/>
    <w:rsid w:val="00561949"/>
    <w:rsid w:val="00562A43"/>
    <w:rsid w:val="00565EF5"/>
    <w:rsid w:val="00567E2B"/>
    <w:rsid w:val="0057145A"/>
    <w:rsid w:val="00575251"/>
    <w:rsid w:val="00576CAF"/>
    <w:rsid w:val="00577254"/>
    <w:rsid w:val="005822C8"/>
    <w:rsid w:val="005827C9"/>
    <w:rsid w:val="00585AF9"/>
    <w:rsid w:val="005876B8"/>
    <w:rsid w:val="0059191C"/>
    <w:rsid w:val="00596A0D"/>
    <w:rsid w:val="005A27B7"/>
    <w:rsid w:val="005A4C3D"/>
    <w:rsid w:val="005A4F79"/>
    <w:rsid w:val="005A5E42"/>
    <w:rsid w:val="005A7296"/>
    <w:rsid w:val="005B1229"/>
    <w:rsid w:val="005B143A"/>
    <w:rsid w:val="005B3E39"/>
    <w:rsid w:val="005B5AB0"/>
    <w:rsid w:val="005C3BB7"/>
    <w:rsid w:val="005C79FC"/>
    <w:rsid w:val="005D47A0"/>
    <w:rsid w:val="005F0E0B"/>
    <w:rsid w:val="005F1408"/>
    <w:rsid w:val="00600400"/>
    <w:rsid w:val="0060070E"/>
    <w:rsid w:val="00606348"/>
    <w:rsid w:val="00613C70"/>
    <w:rsid w:val="006153C4"/>
    <w:rsid w:val="00624B14"/>
    <w:rsid w:val="00625535"/>
    <w:rsid w:val="00627CC3"/>
    <w:rsid w:val="006308F0"/>
    <w:rsid w:val="00636AE7"/>
    <w:rsid w:val="00637A48"/>
    <w:rsid w:val="00642199"/>
    <w:rsid w:val="00644D09"/>
    <w:rsid w:val="00645C22"/>
    <w:rsid w:val="0065723A"/>
    <w:rsid w:val="00660150"/>
    <w:rsid w:val="00660BA4"/>
    <w:rsid w:val="0066148B"/>
    <w:rsid w:val="006641CF"/>
    <w:rsid w:val="0067351B"/>
    <w:rsid w:val="00675A7F"/>
    <w:rsid w:val="00680C65"/>
    <w:rsid w:val="006826A5"/>
    <w:rsid w:val="00685757"/>
    <w:rsid w:val="006934B4"/>
    <w:rsid w:val="006939DF"/>
    <w:rsid w:val="006A7731"/>
    <w:rsid w:val="006B6CE9"/>
    <w:rsid w:val="006C0082"/>
    <w:rsid w:val="006C0BC5"/>
    <w:rsid w:val="006D3DB7"/>
    <w:rsid w:val="006D55AC"/>
    <w:rsid w:val="006D5736"/>
    <w:rsid w:val="006D6DCA"/>
    <w:rsid w:val="006F27C6"/>
    <w:rsid w:val="006F5418"/>
    <w:rsid w:val="00713DA4"/>
    <w:rsid w:val="00717609"/>
    <w:rsid w:val="00722197"/>
    <w:rsid w:val="00722C26"/>
    <w:rsid w:val="00723838"/>
    <w:rsid w:val="00724929"/>
    <w:rsid w:val="007332C3"/>
    <w:rsid w:val="00733D11"/>
    <w:rsid w:val="0073638B"/>
    <w:rsid w:val="007455C3"/>
    <w:rsid w:val="00747DC3"/>
    <w:rsid w:val="007547BE"/>
    <w:rsid w:val="0075733D"/>
    <w:rsid w:val="00757EB1"/>
    <w:rsid w:val="0076155F"/>
    <w:rsid w:val="007669F2"/>
    <w:rsid w:val="00766F51"/>
    <w:rsid w:val="007673DC"/>
    <w:rsid w:val="007703C2"/>
    <w:rsid w:val="00773320"/>
    <w:rsid w:val="007748C1"/>
    <w:rsid w:val="007926D1"/>
    <w:rsid w:val="007A0629"/>
    <w:rsid w:val="007A352A"/>
    <w:rsid w:val="007A6ADA"/>
    <w:rsid w:val="007B0DA8"/>
    <w:rsid w:val="007B1902"/>
    <w:rsid w:val="007B6CBC"/>
    <w:rsid w:val="007C1076"/>
    <w:rsid w:val="007C19AF"/>
    <w:rsid w:val="007C3DE0"/>
    <w:rsid w:val="007D40B5"/>
    <w:rsid w:val="007D4FE9"/>
    <w:rsid w:val="007D5E7F"/>
    <w:rsid w:val="007E4483"/>
    <w:rsid w:val="007E4C2B"/>
    <w:rsid w:val="00805406"/>
    <w:rsid w:val="00806384"/>
    <w:rsid w:val="00812C56"/>
    <w:rsid w:val="008158A0"/>
    <w:rsid w:val="00824C39"/>
    <w:rsid w:val="00830A61"/>
    <w:rsid w:val="0083612D"/>
    <w:rsid w:val="008403F6"/>
    <w:rsid w:val="008425DF"/>
    <w:rsid w:val="008523FC"/>
    <w:rsid w:val="00852A3E"/>
    <w:rsid w:val="00856FDA"/>
    <w:rsid w:val="0085745A"/>
    <w:rsid w:val="00857CE6"/>
    <w:rsid w:val="00857FE8"/>
    <w:rsid w:val="0086011A"/>
    <w:rsid w:val="00862988"/>
    <w:rsid w:val="00862F13"/>
    <w:rsid w:val="00864D75"/>
    <w:rsid w:val="008660F2"/>
    <w:rsid w:val="00866C91"/>
    <w:rsid w:val="0086744D"/>
    <w:rsid w:val="00867C08"/>
    <w:rsid w:val="008712FC"/>
    <w:rsid w:val="00882783"/>
    <w:rsid w:val="00887320"/>
    <w:rsid w:val="00890A6C"/>
    <w:rsid w:val="00893B3D"/>
    <w:rsid w:val="00894678"/>
    <w:rsid w:val="00896428"/>
    <w:rsid w:val="008976DC"/>
    <w:rsid w:val="008B14A9"/>
    <w:rsid w:val="008C61E3"/>
    <w:rsid w:val="008C70B4"/>
    <w:rsid w:val="008D138F"/>
    <w:rsid w:val="008D2222"/>
    <w:rsid w:val="008D4B51"/>
    <w:rsid w:val="008E14BB"/>
    <w:rsid w:val="008F475F"/>
    <w:rsid w:val="008F6C85"/>
    <w:rsid w:val="008F779E"/>
    <w:rsid w:val="0091254C"/>
    <w:rsid w:val="0091506E"/>
    <w:rsid w:val="0091657E"/>
    <w:rsid w:val="00921467"/>
    <w:rsid w:val="0092191B"/>
    <w:rsid w:val="00922309"/>
    <w:rsid w:val="00923807"/>
    <w:rsid w:val="00924100"/>
    <w:rsid w:val="00925489"/>
    <w:rsid w:val="00930BED"/>
    <w:rsid w:val="00932777"/>
    <w:rsid w:val="00955E00"/>
    <w:rsid w:val="00960A85"/>
    <w:rsid w:val="00962CA8"/>
    <w:rsid w:val="00962D4E"/>
    <w:rsid w:val="009634DD"/>
    <w:rsid w:val="009637FB"/>
    <w:rsid w:val="00972C2A"/>
    <w:rsid w:val="0097400C"/>
    <w:rsid w:val="00974A6A"/>
    <w:rsid w:val="00977D51"/>
    <w:rsid w:val="00982406"/>
    <w:rsid w:val="00982FD0"/>
    <w:rsid w:val="0098375C"/>
    <w:rsid w:val="0099203F"/>
    <w:rsid w:val="00992719"/>
    <w:rsid w:val="009949B1"/>
    <w:rsid w:val="009A2FE7"/>
    <w:rsid w:val="009B66D0"/>
    <w:rsid w:val="009C0717"/>
    <w:rsid w:val="009C3A5C"/>
    <w:rsid w:val="009C44A6"/>
    <w:rsid w:val="009C5C47"/>
    <w:rsid w:val="009C6753"/>
    <w:rsid w:val="009D0E12"/>
    <w:rsid w:val="009D2533"/>
    <w:rsid w:val="009D2F9F"/>
    <w:rsid w:val="009D66E4"/>
    <w:rsid w:val="009D6BA9"/>
    <w:rsid w:val="009D78B5"/>
    <w:rsid w:val="009E0F16"/>
    <w:rsid w:val="009F09C0"/>
    <w:rsid w:val="009F1827"/>
    <w:rsid w:val="009F1C78"/>
    <w:rsid w:val="009F5E02"/>
    <w:rsid w:val="00A1796D"/>
    <w:rsid w:val="00A17C23"/>
    <w:rsid w:val="00A20CC6"/>
    <w:rsid w:val="00A22F0B"/>
    <w:rsid w:val="00A25E68"/>
    <w:rsid w:val="00A322E7"/>
    <w:rsid w:val="00A325A3"/>
    <w:rsid w:val="00A51367"/>
    <w:rsid w:val="00A51609"/>
    <w:rsid w:val="00A5556D"/>
    <w:rsid w:val="00A57D87"/>
    <w:rsid w:val="00A60403"/>
    <w:rsid w:val="00A645E3"/>
    <w:rsid w:val="00A65893"/>
    <w:rsid w:val="00A65D0D"/>
    <w:rsid w:val="00A70C62"/>
    <w:rsid w:val="00A77882"/>
    <w:rsid w:val="00A81E4D"/>
    <w:rsid w:val="00A86A58"/>
    <w:rsid w:val="00A928E2"/>
    <w:rsid w:val="00A9296D"/>
    <w:rsid w:val="00AA0A3C"/>
    <w:rsid w:val="00AA0EA9"/>
    <w:rsid w:val="00AA296E"/>
    <w:rsid w:val="00AA2A80"/>
    <w:rsid w:val="00AA32F9"/>
    <w:rsid w:val="00AA5713"/>
    <w:rsid w:val="00AB565A"/>
    <w:rsid w:val="00AB6BBE"/>
    <w:rsid w:val="00AB6FEF"/>
    <w:rsid w:val="00AC0454"/>
    <w:rsid w:val="00AC1F88"/>
    <w:rsid w:val="00AC28A4"/>
    <w:rsid w:val="00AC301D"/>
    <w:rsid w:val="00AC6A09"/>
    <w:rsid w:val="00AD4854"/>
    <w:rsid w:val="00AD4A0F"/>
    <w:rsid w:val="00AD4D2B"/>
    <w:rsid w:val="00AE0357"/>
    <w:rsid w:val="00AE1476"/>
    <w:rsid w:val="00AF1656"/>
    <w:rsid w:val="00AF50F7"/>
    <w:rsid w:val="00AF6152"/>
    <w:rsid w:val="00AF689A"/>
    <w:rsid w:val="00B009F0"/>
    <w:rsid w:val="00B00C06"/>
    <w:rsid w:val="00B03E1B"/>
    <w:rsid w:val="00B06220"/>
    <w:rsid w:val="00B06603"/>
    <w:rsid w:val="00B07C4C"/>
    <w:rsid w:val="00B10F58"/>
    <w:rsid w:val="00B14106"/>
    <w:rsid w:val="00B204AD"/>
    <w:rsid w:val="00B33FBB"/>
    <w:rsid w:val="00B352CC"/>
    <w:rsid w:val="00B36B55"/>
    <w:rsid w:val="00B371C0"/>
    <w:rsid w:val="00B37428"/>
    <w:rsid w:val="00B40811"/>
    <w:rsid w:val="00B422DB"/>
    <w:rsid w:val="00B43CFC"/>
    <w:rsid w:val="00B510B3"/>
    <w:rsid w:val="00B516D7"/>
    <w:rsid w:val="00B53ACF"/>
    <w:rsid w:val="00B61F99"/>
    <w:rsid w:val="00B654E0"/>
    <w:rsid w:val="00B7220C"/>
    <w:rsid w:val="00B73227"/>
    <w:rsid w:val="00B756B6"/>
    <w:rsid w:val="00B80B00"/>
    <w:rsid w:val="00B86175"/>
    <w:rsid w:val="00B959E9"/>
    <w:rsid w:val="00B95C1A"/>
    <w:rsid w:val="00BB0150"/>
    <w:rsid w:val="00BB46D3"/>
    <w:rsid w:val="00BB51B6"/>
    <w:rsid w:val="00BB6F57"/>
    <w:rsid w:val="00BC1932"/>
    <w:rsid w:val="00BD10EE"/>
    <w:rsid w:val="00BD348F"/>
    <w:rsid w:val="00BD36CE"/>
    <w:rsid w:val="00BE127E"/>
    <w:rsid w:val="00BE1CEA"/>
    <w:rsid w:val="00BE5938"/>
    <w:rsid w:val="00BF2D5E"/>
    <w:rsid w:val="00BF6BD2"/>
    <w:rsid w:val="00C02E1A"/>
    <w:rsid w:val="00C076C0"/>
    <w:rsid w:val="00C1609D"/>
    <w:rsid w:val="00C223A6"/>
    <w:rsid w:val="00C23F0F"/>
    <w:rsid w:val="00C2787B"/>
    <w:rsid w:val="00C27E0E"/>
    <w:rsid w:val="00C32090"/>
    <w:rsid w:val="00C34485"/>
    <w:rsid w:val="00C40F81"/>
    <w:rsid w:val="00C426EC"/>
    <w:rsid w:val="00C44805"/>
    <w:rsid w:val="00C568CC"/>
    <w:rsid w:val="00C60189"/>
    <w:rsid w:val="00C60832"/>
    <w:rsid w:val="00C657AC"/>
    <w:rsid w:val="00C76CE7"/>
    <w:rsid w:val="00C8079B"/>
    <w:rsid w:val="00C83C5D"/>
    <w:rsid w:val="00C855B8"/>
    <w:rsid w:val="00C86DCA"/>
    <w:rsid w:val="00C9779C"/>
    <w:rsid w:val="00CA6109"/>
    <w:rsid w:val="00CB3035"/>
    <w:rsid w:val="00CB59F5"/>
    <w:rsid w:val="00CB5EE5"/>
    <w:rsid w:val="00CB6FDA"/>
    <w:rsid w:val="00CC0B6A"/>
    <w:rsid w:val="00CC21DC"/>
    <w:rsid w:val="00CC4367"/>
    <w:rsid w:val="00CC6986"/>
    <w:rsid w:val="00CD447B"/>
    <w:rsid w:val="00CE16E0"/>
    <w:rsid w:val="00CE3CFC"/>
    <w:rsid w:val="00CE5F8C"/>
    <w:rsid w:val="00CF0FD2"/>
    <w:rsid w:val="00CF18E0"/>
    <w:rsid w:val="00CF2A97"/>
    <w:rsid w:val="00CF3F51"/>
    <w:rsid w:val="00D01C0A"/>
    <w:rsid w:val="00D10473"/>
    <w:rsid w:val="00D10CF3"/>
    <w:rsid w:val="00D118C8"/>
    <w:rsid w:val="00D13467"/>
    <w:rsid w:val="00D1603B"/>
    <w:rsid w:val="00D168DA"/>
    <w:rsid w:val="00D219B9"/>
    <w:rsid w:val="00D275E4"/>
    <w:rsid w:val="00D32CE6"/>
    <w:rsid w:val="00D36169"/>
    <w:rsid w:val="00D40AC6"/>
    <w:rsid w:val="00D44E86"/>
    <w:rsid w:val="00D50316"/>
    <w:rsid w:val="00D52570"/>
    <w:rsid w:val="00D53AF7"/>
    <w:rsid w:val="00D60454"/>
    <w:rsid w:val="00D72698"/>
    <w:rsid w:val="00D734AA"/>
    <w:rsid w:val="00D7508B"/>
    <w:rsid w:val="00D76C58"/>
    <w:rsid w:val="00D85135"/>
    <w:rsid w:val="00D95C50"/>
    <w:rsid w:val="00D95C5A"/>
    <w:rsid w:val="00DA20EB"/>
    <w:rsid w:val="00DA6E0F"/>
    <w:rsid w:val="00DB063A"/>
    <w:rsid w:val="00DB441D"/>
    <w:rsid w:val="00DB7F9D"/>
    <w:rsid w:val="00DC023C"/>
    <w:rsid w:val="00DC0A98"/>
    <w:rsid w:val="00DC61AD"/>
    <w:rsid w:val="00DD17AB"/>
    <w:rsid w:val="00DD24FC"/>
    <w:rsid w:val="00DF4B7C"/>
    <w:rsid w:val="00E1229F"/>
    <w:rsid w:val="00E1592D"/>
    <w:rsid w:val="00E1756C"/>
    <w:rsid w:val="00E2124E"/>
    <w:rsid w:val="00E31A40"/>
    <w:rsid w:val="00E32BC5"/>
    <w:rsid w:val="00E33990"/>
    <w:rsid w:val="00E36A12"/>
    <w:rsid w:val="00E44300"/>
    <w:rsid w:val="00E45DA2"/>
    <w:rsid w:val="00E604AE"/>
    <w:rsid w:val="00E61190"/>
    <w:rsid w:val="00E633CE"/>
    <w:rsid w:val="00E67CB9"/>
    <w:rsid w:val="00E80875"/>
    <w:rsid w:val="00E85DDE"/>
    <w:rsid w:val="00E9248E"/>
    <w:rsid w:val="00EA40DC"/>
    <w:rsid w:val="00EA6B09"/>
    <w:rsid w:val="00EB3C34"/>
    <w:rsid w:val="00EB3F67"/>
    <w:rsid w:val="00EB5B91"/>
    <w:rsid w:val="00EC1ED2"/>
    <w:rsid w:val="00EC26CA"/>
    <w:rsid w:val="00EC4032"/>
    <w:rsid w:val="00EC4763"/>
    <w:rsid w:val="00EC58D4"/>
    <w:rsid w:val="00ED178A"/>
    <w:rsid w:val="00ED2F69"/>
    <w:rsid w:val="00ED3424"/>
    <w:rsid w:val="00ED661D"/>
    <w:rsid w:val="00EE13EB"/>
    <w:rsid w:val="00EE467B"/>
    <w:rsid w:val="00EE7486"/>
    <w:rsid w:val="00EF2330"/>
    <w:rsid w:val="00EF36B1"/>
    <w:rsid w:val="00EF3E5E"/>
    <w:rsid w:val="00EF5554"/>
    <w:rsid w:val="00F0171F"/>
    <w:rsid w:val="00F067EF"/>
    <w:rsid w:val="00F068A8"/>
    <w:rsid w:val="00F07228"/>
    <w:rsid w:val="00F11D1A"/>
    <w:rsid w:val="00F1220B"/>
    <w:rsid w:val="00F16C36"/>
    <w:rsid w:val="00F31451"/>
    <w:rsid w:val="00F31539"/>
    <w:rsid w:val="00F32E10"/>
    <w:rsid w:val="00F43B2D"/>
    <w:rsid w:val="00F56A9B"/>
    <w:rsid w:val="00F65AD4"/>
    <w:rsid w:val="00F66C0C"/>
    <w:rsid w:val="00F70E7B"/>
    <w:rsid w:val="00F7183C"/>
    <w:rsid w:val="00F76B62"/>
    <w:rsid w:val="00F834EA"/>
    <w:rsid w:val="00F84088"/>
    <w:rsid w:val="00F874AD"/>
    <w:rsid w:val="00F95015"/>
    <w:rsid w:val="00F97434"/>
    <w:rsid w:val="00F9752D"/>
    <w:rsid w:val="00FA280C"/>
    <w:rsid w:val="00FA3F8B"/>
    <w:rsid w:val="00FA462E"/>
    <w:rsid w:val="00FA6DD0"/>
    <w:rsid w:val="00FC2734"/>
    <w:rsid w:val="00F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C3867E"/>
  <w15:chartTrackingRefBased/>
  <w15:docId w15:val="{FEF5860D-2124-4898-BE99-110418FE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Paragraph">
    <w:name w:val="List Paragraph"/>
    <w:basedOn w:val="Normal"/>
    <w:uiPriority w:val="34"/>
    <w:qFormat/>
    <w:rsid w:val="002F41E8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19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19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19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190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7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67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00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7D4"/>
    <w:pPr>
      <w:widowControl/>
      <w:autoSpaceDE/>
      <w:autoSpaceDN/>
      <w:adjustRightInd/>
      <w:ind w:left="720"/>
      <w:contextualSpacing/>
      <w:jc w:val="both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07D4"/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unhideWhenUsed/>
    <w:rsid w:val="003813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135C"/>
  </w:style>
  <w:style w:type="paragraph" w:styleId="PlainText">
    <w:name w:val="Plain Text"/>
    <w:basedOn w:val="Normal"/>
    <w:link w:val="PlainTextChar"/>
    <w:uiPriority w:val="99"/>
    <w:rsid w:val="00472C18"/>
    <w:pPr>
      <w:widowControl/>
      <w:autoSpaceDE/>
      <w:autoSpaceDN/>
      <w:adjustRightInd/>
    </w:pPr>
    <w:rPr>
      <w:rFonts w:ascii="Bookman Old Style" w:hAnsi="Bookman Old Style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72C18"/>
    <w:rPr>
      <w:rFonts w:ascii="Bookman Old Style" w:hAnsi="Bookman Old Style" w:cs="Courier New"/>
      <w:sz w:val="24"/>
    </w:rPr>
  </w:style>
  <w:style w:type="character" w:styleId="Strong">
    <w:name w:val="Strong"/>
    <w:basedOn w:val="DefaultParagraphFont"/>
    <w:qFormat/>
    <w:rsid w:val="00472C18"/>
    <w:rPr>
      <w:b/>
      <w:bCs/>
    </w:rPr>
  </w:style>
  <w:style w:type="character" w:styleId="Hyperlink">
    <w:name w:val="Hyperlink"/>
    <w:basedOn w:val="DefaultParagraphFont"/>
    <w:semiHidden/>
    <w:rsid w:val="00472C18"/>
    <w:rPr>
      <w:color w:val="0000FF"/>
      <w:u w:val="single"/>
    </w:rPr>
  </w:style>
  <w:style w:type="paragraph" w:styleId="NormalWeb">
    <w:name w:val="Normal (Web)"/>
    <w:basedOn w:val="Normal"/>
    <w:uiPriority w:val="99"/>
    <w:rsid w:val="00472C18"/>
    <w:pPr>
      <w:widowControl/>
      <w:autoSpaceDE/>
      <w:autoSpaceDN/>
      <w:adjustRightInd/>
      <w:spacing w:before="100" w:beforeAutospacing="1" w:after="100" w:afterAutospacing="1"/>
    </w:pPr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571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5713"/>
    <w:rPr>
      <w:rFonts w:ascii="Consolas" w:hAnsi="Consolas"/>
    </w:rPr>
  </w:style>
  <w:style w:type="character" w:customStyle="1" w:styleId="apple-converted-space">
    <w:name w:val="apple-converted-space"/>
    <w:basedOn w:val="DefaultParagraphFont"/>
    <w:rsid w:val="00EA40DC"/>
  </w:style>
  <w:style w:type="paragraph" w:styleId="BodyText">
    <w:name w:val="Body Text"/>
    <w:basedOn w:val="Normal"/>
    <w:link w:val="BodyTextChar"/>
    <w:uiPriority w:val="1"/>
    <w:qFormat/>
    <w:rsid w:val="00EC26CA"/>
    <w:pPr>
      <w:widowControl/>
      <w:autoSpaceDE/>
      <w:autoSpaceDN/>
      <w:adjustRightInd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C26C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BDA2-AC5E-BB49-A804-17101FDF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xptest3</dc:creator>
  <cp:keywords/>
  <dc:description/>
  <cp:lastModifiedBy>Patricia Sallen</cp:lastModifiedBy>
  <cp:revision>8</cp:revision>
  <cp:lastPrinted>2022-04-29T21:19:00Z</cp:lastPrinted>
  <dcterms:created xsi:type="dcterms:W3CDTF">2022-04-26T20:18:00Z</dcterms:created>
  <dcterms:modified xsi:type="dcterms:W3CDTF">2022-04-29T21:39:00Z</dcterms:modified>
</cp:coreProperties>
</file>