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9273" w14:textId="7DA6D95F" w:rsidR="000D6761" w:rsidRPr="000D6761" w:rsidRDefault="00280E3D" w:rsidP="000F366E">
      <w:pPr>
        <w:tabs>
          <w:tab w:val="left" w:pos="5040"/>
        </w:tabs>
        <w:jc w:val="both"/>
        <w:rPr>
          <w:rFonts w:ascii="Times New Roman" w:hAnsi="Times New Roman"/>
          <w:sz w:val="26"/>
          <w:szCs w:val="26"/>
        </w:rPr>
      </w:pPr>
      <w:r>
        <w:rPr>
          <w:rFonts w:ascii="Times New Roman" w:hAnsi="Times New Roman"/>
          <w:sz w:val="26"/>
          <w:szCs w:val="26"/>
        </w:rPr>
        <w:t>Rosemarie Pena-Lynch</w:t>
      </w:r>
      <w:r>
        <w:rPr>
          <w:rFonts w:ascii="Times New Roman" w:hAnsi="Times New Roman"/>
          <w:sz w:val="26"/>
          <w:szCs w:val="26"/>
        </w:rPr>
        <w:tab/>
      </w:r>
      <w:r w:rsidR="000D6761" w:rsidRPr="000D6761">
        <w:rPr>
          <w:rFonts w:ascii="Times New Roman" w:hAnsi="Times New Roman"/>
          <w:sz w:val="26"/>
          <w:szCs w:val="26"/>
        </w:rPr>
        <w:t>Gary Kula</w:t>
      </w:r>
      <w:r w:rsidR="000F366E">
        <w:rPr>
          <w:rFonts w:ascii="Times New Roman" w:hAnsi="Times New Roman"/>
          <w:sz w:val="26"/>
          <w:szCs w:val="26"/>
        </w:rPr>
        <w:tab/>
      </w:r>
    </w:p>
    <w:p w14:paraId="0DB8496E" w14:textId="14E29EF2" w:rsidR="000D6761" w:rsidRPr="000D6761" w:rsidRDefault="00B60669" w:rsidP="00280E3D">
      <w:pPr>
        <w:tabs>
          <w:tab w:val="left" w:pos="5040"/>
        </w:tabs>
        <w:jc w:val="both"/>
        <w:rPr>
          <w:rFonts w:ascii="Times New Roman" w:hAnsi="Times New Roman"/>
          <w:sz w:val="26"/>
          <w:szCs w:val="26"/>
        </w:rPr>
      </w:pPr>
      <w:r>
        <w:rPr>
          <w:rFonts w:ascii="Times New Roman" w:hAnsi="Times New Roman"/>
          <w:sz w:val="26"/>
          <w:szCs w:val="26"/>
        </w:rPr>
        <w:t>Bar No 023400</w:t>
      </w:r>
      <w:r>
        <w:rPr>
          <w:rFonts w:ascii="Times New Roman" w:hAnsi="Times New Roman"/>
          <w:sz w:val="26"/>
          <w:szCs w:val="26"/>
        </w:rPr>
        <w:tab/>
      </w:r>
      <w:r w:rsidR="000D6761" w:rsidRPr="000D6761">
        <w:rPr>
          <w:rFonts w:ascii="Times New Roman" w:hAnsi="Times New Roman"/>
          <w:sz w:val="26"/>
          <w:szCs w:val="26"/>
        </w:rPr>
        <w:t>Bar No. 012507</w:t>
      </w:r>
      <w:r>
        <w:rPr>
          <w:rFonts w:ascii="Times New Roman" w:hAnsi="Times New Roman"/>
          <w:sz w:val="26"/>
          <w:szCs w:val="26"/>
        </w:rPr>
        <w:tab/>
      </w:r>
    </w:p>
    <w:p w14:paraId="71E5B9FB" w14:textId="32EE7BB5" w:rsidR="000D6761" w:rsidRPr="000D6761" w:rsidRDefault="00B60669" w:rsidP="00B60669">
      <w:pPr>
        <w:tabs>
          <w:tab w:val="left" w:pos="5040"/>
        </w:tabs>
        <w:jc w:val="both"/>
        <w:rPr>
          <w:rFonts w:ascii="Times New Roman" w:hAnsi="Times New Roman"/>
          <w:sz w:val="26"/>
          <w:szCs w:val="26"/>
        </w:rPr>
      </w:pPr>
      <w:proofErr w:type="spellStart"/>
      <w:r>
        <w:rPr>
          <w:rFonts w:ascii="Times New Roman" w:hAnsi="Times New Roman"/>
          <w:sz w:val="26"/>
          <w:szCs w:val="26"/>
        </w:rPr>
        <w:t>Mcpa</w:t>
      </w:r>
      <w:proofErr w:type="spellEnd"/>
      <w:r>
        <w:rPr>
          <w:rFonts w:ascii="Times New Roman" w:hAnsi="Times New Roman"/>
          <w:sz w:val="26"/>
          <w:szCs w:val="26"/>
        </w:rPr>
        <w:t>. Office of Public Defense Svc.</w:t>
      </w:r>
      <w:r>
        <w:rPr>
          <w:rFonts w:ascii="Times New Roman" w:hAnsi="Times New Roman"/>
          <w:sz w:val="26"/>
          <w:szCs w:val="26"/>
        </w:rPr>
        <w:tab/>
      </w:r>
      <w:proofErr w:type="spellStart"/>
      <w:r w:rsidR="000D6761" w:rsidRPr="000D6761">
        <w:rPr>
          <w:rFonts w:ascii="Times New Roman" w:hAnsi="Times New Roman"/>
          <w:sz w:val="26"/>
          <w:szCs w:val="26"/>
        </w:rPr>
        <w:t>Mcpa</w:t>
      </w:r>
      <w:proofErr w:type="spellEnd"/>
      <w:r w:rsidR="000D6761" w:rsidRPr="000D6761">
        <w:rPr>
          <w:rFonts w:ascii="Times New Roman" w:hAnsi="Times New Roman"/>
          <w:sz w:val="26"/>
          <w:szCs w:val="26"/>
        </w:rPr>
        <w:t>. Public Defender’s Office</w:t>
      </w:r>
    </w:p>
    <w:p w14:paraId="151CB4CB" w14:textId="51BDB7B9" w:rsidR="000D6761" w:rsidRPr="000D6761" w:rsidRDefault="00B60669" w:rsidP="00B60669">
      <w:pPr>
        <w:tabs>
          <w:tab w:val="left" w:pos="5040"/>
        </w:tabs>
        <w:jc w:val="both"/>
        <w:rPr>
          <w:rFonts w:ascii="Times New Roman" w:hAnsi="Times New Roman"/>
          <w:sz w:val="26"/>
          <w:szCs w:val="26"/>
        </w:rPr>
      </w:pPr>
      <w:r>
        <w:rPr>
          <w:rFonts w:ascii="Times New Roman" w:hAnsi="Times New Roman"/>
          <w:sz w:val="26"/>
          <w:szCs w:val="26"/>
        </w:rPr>
        <w:t xml:space="preserve">620 W. Jackson </w:t>
      </w:r>
      <w:r w:rsidR="00882502">
        <w:rPr>
          <w:rFonts w:ascii="Times New Roman" w:hAnsi="Times New Roman"/>
          <w:sz w:val="26"/>
          <w:szCs w:val="26"/>
        </w:rPr>
        <w:t xml:space="preserve">Suite </w:t>
      </w:r>
      <w:r w:rsidR="00E3079C">
        <w:rPr>
          <w:rFonts w:ascii="Times New Roman" w:hAnsi="Times New Roman"/>
          <w:sz w:val="26"/>
          <w:szCs w:val="26"/>
        </w:rPr>
        <w:t>3076</w:t>
      </w:r>
      <w:r w:rsidR="00882502">
        <w:rPr>
          <w:rFonts w:ascii="Times New Roman" w:hAnsi="Times New Roman"/>
          <w:sz w:val="26"/>
          <w:szCs w:val="26"/>
        </w:rPr>
        <w:tab/>
      </w:r>
      <w:r w:rsidR="000D6761" w:rsidRPr="000D6761">
        <w:rPr>
          <w:rFonts w:ascii="Times New Roman" w:hAnsi="Times New Roman"/>
          <w:sz w:val="26"/>
          <w:szCs w:val="26"/>
        </w:rPr>
        <w:t>620 W. Jackson, Suite 4015</w:t>
      </w:r>
    </w:p>
    <w:p w14:paraId="095084B9" w14:textId="05480AC0" w:rsidR="000D6761" w:rsidRPr="000D6761" w:rsidRDefault="000D6761" w:rsidP="0084036C">
      <w:pPr>
        <w:jc w:val="both"/>
        <w:rPr>
          <w:rFonts w:ascii="Times New Roman" w:hAnsi="Times New Roman"/>
          <w:sz w:val="26"/>
          <w:szCs w:val="26"/>
        </w:rPr>
      </w:pPr>
      <w:r w:rsidRPr="000D6761">
        <w:rPr>
          <w:rFonts w:ascii="Times New Roman" w:hAnsi="Times New Roman"/>
          <w:sz w:val="26"/>
          <w:szCs w:val="26"/>
        </w:rPr>
        <w:t>Phoenix, AZ 85003</w:t>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sidRPr="000D6761">
        <w:rPr>
          <w:rFonts w:ascii="Times New Roman" w:hAnsi="Times New Roman"/>
          <w:sz w:val="26"/>
          <w:szCs w:val="26"/>
        </w:rPr>
        <w:t>Phoenix, AZ 85003</w:t>
      </w:r>
    </w:p>
    <w:p w14:paraId="710070CA" w14:textId="00CC4A14" w:rsidR="000D6761" w:rsidRPr="000D6761" w:rsidRDefault="0084036C" w:rsidP="0084036C">
      <w:pPr>
        <w:tabs>
          <w:tab w:val="left" w:pos="5040"/>
        </w:tabs>
        <w:jc w:val="both"/>
        <w:rPr>
          <w:rFonts w:ascii="Times New Roman" w:hAnsi="Times New Roman"/>
          <w:sz w:val="26"/>
          <w:szCs w:val="26"/>
        </w:rPr>
      </w:pPr>
      <w:r>
        <w:rPr>
          <w:rFonts w:ascii="Times New Roman" w:hAnsi="Times New Roman"/>
          <w:sz w:val="26"/>
          <w:szCs w:val="26"/>
        </w:rPr>
        <w:t>602 506-7228</w:t>
      </w:r>
      <w:r>
        <w:rPr>
          <w:rFonts w:ascii="Times New Roman" w:hAnsi="Times New Roman"/>
          <w:sz w:val="26"/>
          <w:szCs w:val="26"/>
        </w:rPr>
        <w:tab/>
      </w:r>
      <w:r w:rsidR="000D6761" w:rsidRPr="000D6761">
        <w:rPr>
          <w:rFonts w:ascii="Times New Roman" w:hAnsi="Times New Roman"/>
          <w:sz w:val="26"/>
          <w:szCs w:val="26"/>
        </w:rPr>
        <w:t>602 506-7711</w:t>
      </w:r>
    </w:p>
    <w:p w14:paraId="38F3EF71" w14:textId="6315092E" w:rsidR="000D6761" w:rsidRPr="000D6761" w:rsidRDefault="0084036C" w:rsidP="0084036C">
      <w:pPr>
        <w:tabs>
          <w:tab w:val="left" w:pos="5040"/>
        </w:tabs>
        <w:jc w:val="both"/>
        <w:rPr>
          <w:rFonts w:ascii="Times New Roman" w:hAnsi="Times New Roman"/>
          <w:sz w:val="26"/>
          <w:szCs w:val="26"/>
        </w:rPr>
      </w:pPr>
      <w:r w:rsidRPr="0084036C">
        <w:rPr>
          <w:rFonts w:ascii="Times New Roman" w:hAnsi="Times New Roman"/>
          <w:sz w:val="26"/>
          <w:szCs w:val="26"/>
        </w:rPr>
        <w:t>Rosemarie.pena-lynch@maricopa.gov</w:t>
      </w:r>
      <w:r>
        <w:rPr>
          <w:rFonts w:ascii="Times New Roman" w:hAnsi="Times New Roman"/>
          <w:sz w:val="26"/>
          <w:szCs w:val="26"/>
        </w:rPr>
        <w:tab/>
      </w:r>
      <w:r w:rsidR="000D6761" w:rsidRPr="000D6761">
        <w:rPr>
          <w:rFonts w:ascii="Times New Roman" w:hAnsi="Times New Roman"/>
          <w:sz w:val="26"/>
          <w:szCs w:val="26"/>
        </w:rPr>
        <w:t>gary.kula@maricopa.gov</w:t>
      </w:r>
    </w:p>
    <w:p w14:paraId="013597D9" w14:textId="77777777" w:rsidR="000D6761" w:rsidRPr="000D6761" w:rsidRDefault="000D6761" w:rsidP="000D6761">
      <w:pPr>
        <w:jc w:val="both"/>
        <w:rPr>
          <w:rFonts w:ascii="Times New Roman" w:hAnsi="Times New Roman"/>
          <w:sz w:val="26"/>
          <w:szCs w:val="26"/>
        </w:rPr>
      </w:pPr>
    </w:p>
    <w:p w14:paraId="000F127D" w14:textId="4B288AC9" w:rsidR="000D6761" w:rsidRPr="000D6761" w:rsidRDefault="000D6761" w:rsidP="0084036C">
      <w:pPr>
        <w:tabs>
          <w:tab w:val="left" w:pos="5040"/>
        </w:tabs>
        <w:jc w:val="both"/>
        <w:rPr>
          <w:rFonts w:ascii="Times New Roman" w:hAnsi="Times New Roman"/>
          <w:sz w:val="26"/>
          <w:szCs w:val="26"/>
        </w:rPr>
      </w:pPr>
      <w:r>
        <w:rPr>
          <w:rFonts w:ascii="Times New Roman" w:hAnsi="Times New Roman"/>
          <w:sz w:val="26"/>
          <w:szCs w:val="26"/>
        </w:rPr>
        <w:t>Steve K</w:t>
      </w:r>
      <w:r w:rsidR="00FF7E97">
        <w:rPr>
          <w:rFonts w:ascii="Times New Roman" w:hAnsi="Times New Roman"/>
          <w:sz w:val="26"/>
          <w:szCs w:val="26"/>
        </w:rPr>
        <w:t>o</w:t>
      </w:r>
      <w:r>
        <w:rPr>
          <w:rFonts w:ascii="Times New Roman" w:hAnsi="Times New Roman"/>
          <w:sz w:val="26"/>
          <w:szCs w:val="26"/>
        </w:rPr>
        <w:t>es</w:t>
      </w:r>
      <w:r w:rsidR="00FF7E97">
        <w:rPr>
          <w:rFonts w:ascii="Times New Roman" w:hAnsi="Times New Roman"/>
          <w:sz w:val="26"/>
          <w:szCs w:val="26"/>
        </w:rPr>
        <w:t>t</w:t>
      </w:r>
      <w:r>
        <w:rPr>
          <w:rFonts w:ascii="Times New Roman" w:hAnsi="Times New Roman"/>
          <w:sz w:val="26"/>
          <w:szCs w:val="26"/>
        </w:rPr>
        <w:t>ner</w:t>
      </w:r>
      <w:r w:rsidR="002D6E69">
        <w:rPr>
          <w:rFonts w:ascii="Times New Roman" w:hAnsi="Times New Roman"/>
          <w:sz w:val="26"/>
          <w:szCs w:val="26"/>
        </w:rPr>
        <w:tab/>
        <w:t>Shannon Burns</w:t>
      </w:r>
    </w:p>
    <w:p w14:paraId="5D44F0CB" w14:textId="76DCAA98" w:rsidR="000D6761" w:rsidRPr="000D6761" w:rsidRDefault="000D6761" w:rsidP="002D6E69">
      <w:pPr>
        <w:tabs>
          <w:tab w:val="left" w:pos="5040"/>
        </w:tabs>
        <w:jc w:val="both"/>
        <w:rPr>
          <w:rFonts w:ascii="Times New Roman" w:hAnsi="Times New Roman"/>
          <w:sz w:val="26"/>
          <w:szCs w:val="26"/>
        </w:rPr>
      </w:pPr>
      <w:r w:rsidRPr="000D6761">
        <w:rPr>
          <w:rFonts w:ascii="Times New Roman" w:hAnsi="Times New Roman"/>
          <w:sz w:val="26"/>
          <w:szCs w:val="26"/>
        </w:rPr>
        <w:t xml:space="preserve">Bar No. </w:t>
      </w:r>
      <w:r w:rsidR="00DD47DE">
        <w:rPr>
          <w:rFonts w:ascii="Times New Roman" w:hAnsi="Times New Roman"/>
          <w:sz w:val="26"/>
          <w:szCs w:val="26"/>
        </w:rPr>
        <w:t>011566</w:t>
      </w:r>
      <w:r w:rsidR="002D6E69">
        <w:rPr>
          <w:rFonts w:ascii="Times New Roman" w:hAnsi="Times New Roman"/>
          <w:sz w:val="26"/>
          <w:szCs w:val="26"/>
        </w:rPr>
        <w:tab/>
      </w:r>
      <w:r w:rsidR="00BE7DEB">
        <w:rPr>
          <w:rFonts w:ascii="Times New Roman" w:hAnsi="Times New Roman"/>
          <w:sz w:val="26"/>
          <w:szCs w:val="26"/>
        </w:rPr>
        <w:t>Bar No. 015976</w:t>
      </w:r>
    </w:p>
    <w:p w14:paraId="38D6879B" w14:textId="22F1F3D1" w:rsidR="000D6761" w:rsidRPr="000D6761" w:rsidRDefault="000D6761" w:rsidP="00BE7DEB">
      <w:pPr>
        <w:tabs>
          <w:tab w:val="left" w:pos="5040"/>
        </w:tabs>
        <w:jc w:val="both"/>
        <w:rPr>
          <w:rFonts w:ascii="Times New Roman" w:hAnsi="Times New Roman"/>
          <w:sz w:val="26"/>
          <w:szCs w:val="26"/>
        </w:rPr>
      </w:pPr>
      <w:proofErr w:type="spellStart"/>
      <w:r w:rsidRPr="000D6761">
        <w:rPr>
          <w:rFonts w:ascii="Times New Roman" w:hAnsi="Times New Roman"/>
          <w:sz w:val="26"/>
          <w:szCs w:val="26"/>
        </w:rPr>
        <w:t>Mcpa</w:t>
      </w:r>
      <w:proofErr w:type="spellEnd"/>
      <w:r w:rsidRPr="000D6761">
        <w:rPr>
          <w:rFonts w:ascii="Times New Roman" w:hAnsi="Times New Roman"/>
          <w:sz w:val="26"/>
          <w:szCs w:val="26"/>
        </w:rPr>
        <w:t>. Office of Legal Advocate</w:t>
      </w:r>
      <w:r w:rsidR="00BE7DEB">
        <w:rPr>
          <w:rFonts w:ascii="Times New Roman" w:hAnsi="Times New Roman"/>
          <w:sz w:val="26"/>
          <w:szCs w:val="26"/>
        </w:rPr>
        <w:tab/>
      </w:r>
      <w:proofErr w:type="spellStart"/>
      <w:r w:rsidR="00BE7DEB">
        <w:rPr>
          <w:rFonts w:ascii="Times New Roman" w:hAnsi="Times New Roman"/>
          <w:sz w:val="26"/>
          <w:szCs w:val="26"/>
        </w:rPr>
        <w:t>Mcpa</w:t>
      </w:r>
      <w:proofErr w:type="spellEnd"/>
      <w:r w:rsidR="00BE7DEB">
        <w:rPr>
          <w:rFonts w:ascii="Times New Roman" w:hAnsi="Times New Roman"/>
          <w:sz w:val="26"/>
          <w:szCs w:val="26"/>
        </w:rPr>
        <w:t>. Office of the Public Advocate</w:t>
      </w:r>
    </w:p>
    <w:p w14:paraId="191D0932" w14:textId="6BE854BD" w:rsidR="000D6761" w:rsidRPr="000D6761" w:rsidRDefault="000D6761" w:rsidP="00BE7DEB">
      <w:pPr>
        <w:tabs>
          <w:tab w:val="left" w:pos="5040"/>
        </w:tabs>
        <w:jc w:val="both"/>
        <w:rPr>
          <w:rFonts w:ascii="Times New Roman" w:hAnsi="Times New Roman"/>
          <w:sz w:val="26"/>
          <w:szCs w:val="26"/>
        </w:rPr>
      </w:pPr>
      <w:r w:rsidRPr="000D6761">
        <w:rPr>
          <w:rFonts w:ascii="Times New Roman" w:hAnsi="Times New Roman"/>
          <w:sz w:val="26"/>
          <w:szCs w:val="26"/>
        </w:rPr>
        <w:t>222 N. Central, Suite 154</w:t>
      </w:r>
      <w:r w:rsidR="00BE7DEB">
        <w:rPr>
          <w:rFonts w:ascii="Times New Roman" w:hAnsi="Times New Roman"/>
          <w:sz w:val="26"/>
          <w:szCs w:val="26"/>
        </w:rPr>
        <w:tab/>
        <w:t>106 E. Baseline Rd</w:t>
      </w:r>
    </w:p>
    <w:p w14:paraId="09F68C5F" w14:textId="21EC6B5B" w:rsidR="000D6761" w:rsidRPr="000D6761" w:rsidRDefault="000D6761" w:rsidP="00BE7DEB">
      <w:pPr>
        <w:tabs>
          <w:tab w:val="left" w:pos="5040"/>
        </w:tabs>
        <w:jc w:val="both"/>
        <w:rPr>
          <w:rFonts w:ascii="Times New Roman" w:hAnsi="Times New Roman"/>
          <w:sz w:val="26"/>
          <w:szCs w:val="26"/>
        </w:rPr>
      </w:pPr>
      <w:r w:rsidRPr="000D6761">
        <w:rPr>
          <w:rFonts w:ascii="Times New Roman" w:hAnsi="Times New Roman"/>
          <w:sz w:val="26"/>
          <w:szCs w:val="26"/>
        </w:rPr>
        <w:t>Phoenix, AZ 85004</w:t>
      </w:r>
      <w:r w:rsidR="00BE7DEB">
        <w:rPr>
          <w:rFonts w:ascii="Times New Roman" w:hAnsi="Times New Roman"/>
          <w:sz w:val="26"/>
          <w:szCs w:val="26"/>
        </w:rPr>
        <w:tab/>
      </w:r>
      <w:r w:rsidR="008A0045">
        <w:rPr>
          <w:rFonts w:ascii="Times New Roman" w:hAnsi="Times New Roman"/>
          <w:sz w:val="26"/>
          <w:szCs w:val="26"/>
        </w:rPr>
        <w:t>Mesa, AZ 85210</w:t>
      </w:r>
    </w:p>
    <w:p w14:paraId="5273DDBF" w14:textId="253790B5" w:rsidR="000D6761" w:rsidRPr="000D6761" w:rsidRDefault="000D6761" w:rsidP="008A0045">
      <w:pPr>
        <w:tabs>
          <w:tab w:val="left" w:pos="5040"/>
        </w:tabs>
        <w:jc w:val="both"/>
        <w:rPr>
          <w:rFonts w:ascii="Times New Roman" w:hAnsi="Times New Roman"/>
          <w:sz w:val="26"/>
          <w:szCs w:val="26"/>
        </w:rPr>
      </w:pPr>
      <w:r w:rsidRPr="000D6761">
        <w:rPr>
          <w:rFonts w:ascii="Times New Roman" w:hAnsi="Times New Roman"/>
          <w:sz w:val="26"/>
          <w:szCs w:val="26"/>
        </w:rPr>
        <w:t>602 506-4111</w:t>
      </w:r>
      <w:r w:rsidR="008A0045">
        <w:rPr>
          <w:rFonts w:ascii="Times New Roman" w:hAnsi="Times New Roman"/>
          <w:sz w:val="26"/>
          <w:szCs w:val="26"/>
        </w:rPr>
        <w:tab/>
        <w:t>602 372-2815</w:t>
      </w:r>
    </w:p>
    <w:p w14:paraId="420EBBEF" w14:textId="32A97EB2" w:rsidR="000D6761" w:rsidRPr="000D6761" w:rsidRDefault="008A0045" w:rsidP="008A0045">
      <w:pPr>
        <w:tabs>
          <w:tab w:val="left" w:pos="5040"/>
        </w:tabs>
        <w:jc w:val="both"/>
        <w:rPr>
          <w:rFonts w:ascii="Times New Roman" w:hAnsi="Times New Roman"/>
          <w:sz w:val="26"/>
          <w:szCs w:val="26"/>
        </w:rPr>
      </w:pPr>
      <w:r w:rsidRPr="008A0045">
        <w:rPr>
          <w:rFonts w:ascii="Times New Roman" w:hAnsi="Times New Roman"/>
          <w:sz w:val="26"/>
          <w:szCs w:val="26"/>
        </w:rPr>
        <w:t>Steve.koestner@maricopa.gov</w:t>
      </w:r>
      <w:r>
        <w:rPr>
          <w:rFonts w:ascii="Times New Roman" w:hAnsi="Times New Roman"/>
          <w:sz w:val="26"/>
          <w:szCs w:val="26"/>
        </w:rPr>
        <w:tab/>
      </w:r>
      <w:r w:rsidRPr="008A0045">
        <w:rPr>
          <w:rFonts w:ascii="Times New Roman" w:hAnsi="Times New Roman"/>
          <w:sz w:val="26"/>
          <w:szCs w:val="26"/>
        </w:rPr>
        <w:t>Shannon.Burns@maricopa.gov</w:t>
      </w:r>
      <w:r>
        <w:rPr>
          <w:rFonts w:ascii="Times New Roman" w:hAnsi="Times New Roman"/>
          <w:sz w:val="26"/>
          <w:szCs w:val="26"/>
        </w:rPr>
        <w:t xml:space="preserve"> </w:t>
      </w:r>
    </w:p>
    <w:p w14:paraId="4A4C879B" w14:textId="77777777" w:rsidR="000D6761" w:rsidRPr="000D6761" w:rsidRDefault="000D6761" w:rsidP="000D6761">
      <w:pPr>
        <w:jc w:val="both"/>
        <w:rPr>
          <w:rFonts w:ascii="Times New Roman" w:hAnsi="Times New Roman"/>
          <w:sz w:val="26"/>
          <w:szCs w:val="26"/>
        </w:rPr>
      </w:pPr>
    </w:p>
    <w:p w14:paraId="74FB1F98"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Sherri McGuire Lawson</w:t>
      </w:r>
    </w:p>
    <w:p w14:paraId="60F805B3"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Bar No. 013605</w:t>
      </w:r>
    </w:p>
    <w:p w14:paraId="25FF8B0E" w14:textId="77777777" w:rsidR="000D6761" w:rsidRPr="000D6761" w:rsidRDefault="000D6761" w:rsidP="000D6761">
      <w:pPr>
        <w:jc w:val="both"/>
        <w:rPr>
          <w:rFonts w:ascii="Times New Roman" w:hAnsi="Times New Roman"/>
          <w:sz w:val="26"/>
          <w:szCs w:val="26"/>
        </w:rPr>
      </w:pPr>
      <w:proofErr w:type="spellStart"/>
      <w:r w:rsidRPr="000D6761">
        <w:rPr>
          <w:rFonts w:ascii="Times New Roman" w:hAnsi="Times New Roman"/>
          <w:sz w:val="26"/>
          <w:szCs w:val="26"/>
        </w:rPr>
        <w:t>Mcpa</w:t>
      </w:r>
      <w:proofErr w:type="spellEnd"/>
      <w:r w:rsidRPr="000D6761">
        <w:rPr>
          <w:rFonts w:ascii="Times New Roman" w:hAnsi="Times New Roman"/>
          <w:sz w:val="26"/>
          <w:szCs w:val="26"/>
        </w:rPr>
        <w:t>. Office of Legal Defender</w:t>
      </w:r>
    </w:p>
    <w:p w14:paraId="5786688F"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222 N. Central, Suite 8100</w:t>
      </w:r>
    </w:p>
    <w:p w14:paraId="5A6612EF"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Phoenix, AZ 85004</w:t>
      </w:r>
    </w:p>
    <w:p w14:paraId="18F144A0"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602 506-8800</w:t>
      </w:r>
    </w:p>
    <w:p w14:paraId="4D937E0F" w14:textId="26C13358" w:rsidR="007B0087" w:rsidRDefault="008A0045" w:rsidP="000D6761">
      <w:pPr>
        <w:jc w:val="both"/>
        <w:rPr>
          <w:rFonts w:ascii="Times New Roman" w:hAnsi="Times New Roman"/>
          <w:sz w:val="26"/>
          <w:szCs w:val="26"/>
        </w:rPr>
      </w:pPr>
      <w:r w:rsidRPr="008A0045">
        <w:rPr>
          <w:rFonts w:ascii="Times New Roman" w:hAnsi="Times New Roman"/>
          <w:sz w:val="26"/>
          <w:szCs w:val="26"/>
        </w:rPr>
        <w:t>sherri.mcguire@maricopa.gov</w:t>
      </w:r>
    </w:p>
    <w:p w14:paraId="3F23DD6F" w14:textId="77777777" w:rsidR="008A0045" w:rsidRDefault="008A0045" w:rsidP="000D6761">
      <w:pPr>
        <w:jc w:val="both"/>
        <w:rPr>
          <w:rFonts w:ascii="Times New Roman" w:hAnsi="Times New Roman"/>
          <w:sz w:val="26"/>
          <w:szCs w:val="26"/>
        </w:rPr>
      </w:pPr>
    </w:p>
    <w:tbl>
      <w:tblPr>
        <w:tblpPr w:leftFromText="180" w:rightFromText="180" w:vertAnchor="text" w:horzAnchor="margin" w:tblpXSpec="center" w:tblpY="68"/>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5456"/>
      </w:tblGrid>
      <w:tr w:rsidR="00D03245" w14:paraId="3FD5DCD7" w14:textId="77777777" w:rsidTr="00EC2EF4">
        <w:trPr>
          <w:trHeight w:val="459"/>
        </w:trPr>
        <w:tc>
          <w:tcPr>
            <w:tcW w:w="5238" w:type="dxa"/>
            <w:tcBorders>
              <w:top w:val="nil"/>
              <w:left w:val="nil"/>
              <w:bottom w:val="nil"/>
              <w:right w:val="single" w:sz="4" w:space="0" w:color="auto"/>
            </w:tcBorders>
            <w:hideMark/>
          </w:tcPr>
          <w:p w14:paraId="2E57F2C5" w14:textId="77777777" w:rsidR="00D03245" w:rsidRDefault="00D03245" w:rsidP="00882502">
            <w:pPr>
              <w:snapToGrid w:val="0"/>
              <w:ind w:left="615"/>
              <w:rPr>
                <w:rFonts w:ascii="Times New Roman" w:hAnsi="Times New Roman"/>
                <w:sz w:val="26"/>
                <w:szCs w:val="26"/>
              </w:rPr>
            </w:pPr>
          </w:p>
          <w:p w14:paraId="21C3C728" w14:textId="77777777" w:rsidR="00E65CD7" w:rsidRDefault="00E65CD7" w:rsidP="00882502">
            <w:pPr>
              <w:snapToGrid w:val="0"/>
              <w:ind w:left="615"/>
              <w:rPr>
                <w:rFonts w:ascii="Times New Roman" w:hAnsi="Times New Roman"/>
                <w:sz w:val="26"/>
                <w:szCs w:val="26"/>
              </w:rPr>
            </w:pPr>
            <w:r w:rsidRPr="00E65CD7">
              <w:rPr>
                <w:rFonts w:ascii="Times New Roman" w:hAnsi="Times New Roman"/>
                <w:sz w:val="26"/>
                <w:szCs w:val="26"/>
              </w:rPr>
              <w:t>In the Matter of:</w:t>
            </w:r>
          </w:p>
          <w:p w14:paraId="3CA10A81" w14:textId="77777777" w:rsidR="00E65CD7" w:rsidRDefault="00E65CD7" w:rsidP="00882502">
            <w:pPr>
              <w:snapToGrid w:val="0"/>
              <w:ind w:left="615"/>
              <w:rPr>
                <w:rFonts w:ascii="Times New Roman" w:hAnsi="Times New Roman"/>
                <w:sz w:val="26"/>
                <w:szCs w:val="26"/>
              </w:rPr>
            </w:pPr>
          </w:p>
          <w:p w14:paraId="7F0949ED" w14:textId="5B1EA6D4" w:rsidR="00D03245" w:rsidRPr="00012A53" w:rsidRDefault="00D03245" w:rsidP="00882502">
            <w:pPr>
              <w:snapToGrid w:val="0"/>
              <w:ind w:left="615"/>
              <w:rPr>
                <w:rFonts w:ascii="Times New Roman" w:hAnsi="Times New Roman"/>
                <w:b/>
                <w:sz w:val="26"/>
                <w:szCs w:val="26"/>
              </w:rPr>
            </w:pPr>
            <w:r>
              <w:rPr>
                <w:rFonts w:ascii="Times New Roman" w:hAnsi="Times New Roman"/>
                <w:sz w:val="26"/>
                <w:szCs w:val="26"/>
              </w:rPr>
              <w:t xml:space="preserve">PETITION TO </w:t>
            </w:r>
            <w:r w:rsidR="00BF4A96">
              <w:rPr>
                <w:rFonts w:ascii="Times New Roman" w:hAnsi="Times New Roman"/>
                <w:sz w:val="26"/>
                <w:szCs w:val="26"/>
              </w:rPr>
              <w:t>AMEND</w:t>
            </w:r>
            <w:r>
              <w:rPr>
                <w:rFonts w:ascii="Times New Roman" w:hAnsi="Times New Roman"/>
                <w:sz w:val="26"/>
                <w:szCs w:val="26"/>
              </w:rPr>
              <w:t xml:space="preserve"> RULE </w:t>
            </w:r>
            <w:r w:rsidR="00F50250">
              <w:rPr>
                <w:rFonts w:ascii="Times New Roman" w:hAnsi="Times New Roman"/>
                <w:sz w:val="26"/>
                <w:szCs w:val="26"/>
              </w:rPr>
              <w:t>15.8</w:t>
            </w:r>
            <w:r w:rsidR="00B04793">
              <w:rPr>
                <w:rFonts w:ascii="Times New Roman" w:hAnsi="Times New Roman"/>
                <w:sz w:val="26"/>
                <w:szCs w:val="26"/>
              </w:rPr>
              <w:t>(a)</w:t>
            </w:r>
            <w:r>
              <w:rPr>
                <w:rFonts w:ascii="Times New Roman" w:hAnsi="Times New Roman"/>
                <w:sz w:val="26"/>
                <w:szCs w:val="26"/>
              </w:rPr>
              <w:t xml:space="preserve"> OF THE ARIZONA RULES OF CRIMINAL PROCEDURE</w:t>
            </w:r>
          </w:p>
        </w:tc>
        <w:tc>
          <w:tcPr>
            <w:tcW w:w="5456" w:type="dxa"/>
            <w:tcBorders>
              <w:top w:val="nil"/>
              <w:left w:val="single" w:sz="4" w:space="0" w:color="auto"/>
              <w:bottom w:val="nil"/>
              <w:right w:val="nil"/>
            </w:tcBorders>
          </w:tcPr>
          <w:p w14:paraId="21BDD852" w14:textId="77777777" w:rsidR="00D03245" w:rsidRDefault="00D03245" w:rsidP="00D03245">
            <w:pPr>
              <w:snapToGrid w:val="0"/>
              <w:rPr>
                <w:rFonts w:ascii="Times New Roman" w:hAnsi="Times New Roman"/>
                <w:sz w:val="26"/>
                <w:szCs w:val="26"/>
              </w:rPr>
            </w:pPr>
          </w:p>
          <w:p w14:paraId="38B93403" w14:textId="370375E5" w:rsidR="002E7734" w:rsidRDefault="002E7734" w:rsidP="00D03245">
            <w:pPr>
              <w:snapToGrid w:val="0"/>
              <w:rPr>
                <w:rFonts w:ascii="Times New Roman" w:hAnsi="Times New Roman"/>
                <w:sz w:val="26"/>
                <w:szCs w:val="26"/>
              </w:rPr>
            </w:pPr>
            <w:r>
              <w:rPr>
                <w:rFonts w:ascii="Times New Roman" w:hAnsi="Times New Roman"/>
                <w:sz w:val="26"/>
                <w:szCs w:val="26"/>
              </w:rPr>
              <w:t>Supreme Court No. R-22-00</w:t>
            </w:r>
            <w:r w:rsidR="00F50250">
              <w:rPr>
                <w:rFonts w:ascii="Times New Roman" w:hAnsi="Times New Roman"/>
                <w:sz w:val="26"/>
                <w:szCs w:val="26"/>
              </w:rPr>
              <w:t>21</w:t>
            </w:r>
          </w:p>
          <w:p w14:paraId="77DEBA5B" w14:textId="77777777" w:rsidR="002E7734" w:rsidRDefault="002E7734" w:rsidP="00D03245">
            <w:pPr>
              <w:snapToGrid w:val="0"/>
              <w:rPr>
                <w:rFonts w:ascii="Times New Roman" w:hAnsi="Times New Roman"/>
                <w:sz w:val="26"/>
                <w:szCs w:val="26"/>
              </w:rPr>
            </w:pPr>
          </w:p>
          <w:p w14:paraId="3A08AA05" w14:textId="77777777" w:rsidR="002E7734" w:rsidRDefault="002E7734" w:rsidP="00D03245">
            <w:pPr>
              <w:snapToGrid w:val="0"/>
              <w:rPr>
                <w:rFonts w:ascii="Times New Roman" w:hAnsi="Times New Roman"/>
                <w:sz w:val="26"/>
                <w:szCs w:val="26"/>
              </w:rPr>
            </w:pPr>
          </w:p>
          <w:p w14:paraId="22660B8D" w14:textId="5036615D" w:rsidR="002E7734" w:rsidRDefault="002E7734" w:rsidP="00D03245">
            <w:pPr>
              <w:snapToGrid w:val="0"/>
              <w:rPr>
                <w:rFonts w:ascii="Times New Roman" w:hAnsi="Times New Roman"/>
                <w:sz w:val="26"/>
                <w:szCs w:val="26"/>
              </w:rPr>
            </w:pPr>
            <w:r>
              <w:rPr>
                <w:rFonts w:ascii="Times New Roman" w:hAnsi="Times New Roman"/>
                <w:sz w:val="26"/>
                <w:szCs w:val="26"/>
              </w:rPr>
              <w:t xml:space="preserve">Joint Comment </w:t>
            </w:r>
            <w:r w:rsidR="001B28DF">
              <w:rPr>
                <w:rFonts w:ascii="Times New Roman" w:hAnsi="Times New Roman"/>
                <w:sz w:val="26"/>
                <w:szCs w:val="26"/>
              </w:rPr>
              <w:t xml:space="preserve">by </w:t>
            </w:r>
            <w:r w:rsidR="0034520F">
              <w:rPr>
                <w:rFonts w:ascii="Times New Roman" w:hAnsi="Times New Roman"/>
                <w:sz w:val="26"/>
                <w:szCs w:val="26"/>
              </w:rPr>
              <w:t xml:space="preserve">the Directors of the Maricopa County </w:t>
            </w:r>
            <w:r w:rsidR="00774397">
              <w:rPr>
                <w:rFonts w:ascii="Times New Roman" w:hAnsi="Times New Roman"/>
                <w:sz w:val="26"/>
                <w:szCs w:val="26"/>
              </w:rPr>
              <w:t>Indigent Defense Agencies</w:t>
            </w:r>
          </w:p>
        </w:tc>
      </w:tr>
      <w:tr w:rsidR="00D03245" w14:paraId="15A56ED6" w14:textId="77777777" w:rsidTr="00EC2EF4">
        <w:trPr>
          <w:trHeight w:val="355"/>
        </w:trPr>
        <w:tc>
          <w:tcPr>
            <w:tcW w:w="5238" w:type="dxa"/>
            <w:tcBorders>
              <w:top w:val="nil"/>
              <w:left w:val="nil"/>
              <w:bottom w:val="nil"/>
              <w:right w:val="single" w:sz="4" w:space="0" w:color="auto"/>
            </w:tcBorders>
          </w:tcPr>
          <w:p w14:paraId="0A85FBED" w14:textId="77777777" w:rsidR="00D03245" w:rsidRPr="00012A53" w:rsidRDefault="00D03245" w:rsidP="00882502">
            <w:pPr>
              <w:snapToGrid w:val="0"/>
              <w:ind w:left="615"/>
              <w:rPr>
                <w:rFonts w:ascii="Times New Roman" w:hAnsi="Times New Roman"/>
                <w:sz w:val="26"/>
                <w:szCs w:val="26"/>
              </w:rPr>
            </w:pPr>
          </w:p>
        </w:tc>
        <w:tc>
          <w:tcPr>
            <w:tcW w:w="5456" w:type="dxa"/>
            <w:tcBorders>
              <w:top w:val="nil"/>
              <w:left w:val="single" w:sz="4" w:space="0" w:color="auto"/>
              <w:bottom w:val="nil"/>
              <w:right w:val="nil"/>
            </w:tcBorders>
            <w:hideMark/>
          </w:tcPr>
          <w:p w14:paraId="511E6214" w14:textId="54E932BD" w:rsidR="00D03245" w:rsidRPr="006E0D1D" w:rsidRDefault="00D03245" w:rsidP="00D03245">
            <w:pPr>
              <w:snapToGrid w:val="0"/>
              <w:rPr>
                <w:rFonts w:ascii="Times New Roman" w:hAnsi="Times New Roman"/>
                <w:sz w:val="26"/>
                <w:szCs w:val="26"/>
              </w:rPr>
            </w:pPr>
          </w:p>
        </w:tc>
      </w:tr>
      <w:tr w:rsidR="00D03245" w14:paraId="6B98B791" w14:textId="77777777" w:rsidTr="00EC2EF4">
        <w:trPr>
          <w:gridAfter w:val="1"/>
          <w:wAfter w:w="5456" w:type="dxa"/>
          <w:trHeight w:val="83"/>
        </w:trPr>
        <w:tc>
          <w:tcPr>
            <w:tcW w:w="5238" w:type="dxa"/>
            <w:tcBorders>
              <w:top w:val="nil"/>
              <w:left w:val="nil"/>
              <w:bottom w:val="single" w:sz="4" w:space="0" w:color="auto"/>
              <w:right w:val="single" w:sz="4" w:space="0" w:color="auto"/>
            </w:tcBorders>
            <w:vAlign w:val="center"/>
          </w:tcPr>
          <w:p w14:paraId="0699CBDB" w14:textId="77777777" w:rsidR="00D03245" w:rsidRDefault="00D03245" w:rsidP="00882502">
            <w:pPr>
              <w:tabs>
                <w:tab w:val="left" w:pos="2160"/>
              </w:tabs>
              <w:ind w:left="615"/>
              <w:rPr>
                <w:rFonts w:ascii="Times New Roman" w:hAnsi="Times New Roman"/>
                <w:sz w:val="26"/>
                <w:szCs w:val="26"/>
              </w:rPr>
            </w:pPr>
            <w:r>
              <w:rPr>
                <w:rFonts w:ascii="Times New Roman" w:hAnsi="Times New Roman"/>
                <w:sz w:val="26"/>
                <w:szCs w:val="26"/>
              </w:rPr>
              <w:tab/>
            </w:r>
          </w:p>
          <w:p w14:paraId="552E484E" w14:textId="77777777" w:rsidR="00D03245" w:rsidRDefault="00D03245" w:rsidP="00882502">
            <w:pPr>
              <w:tabs>
                <w:tab w:val="left" w:pos="2160"/>
              </w:tabs>
              <w:ind w:left="615"/>
              <w:rPr>
                <w:rFonts w:ascii="Times New Roman" w:hAnsi="Times New Roman"/>
                <w:sz w:val="26"/>
                <w:szCs w:val="26"/>
              </w:rPr>
            </w:pPr>
          </w:p>
        </w:tc>
      </w:tr>
    </w:tbl>
    <w:p w14:paraId="5CC730B5" w14:textId="77777777" w:rsidR="007B0087" w:rsidRDefault="007B0087" w:rsidP="00012A53">
      <w:pPr>
        <w:tabs>
          <w:tab w:val="center" w:pos="4680"/>
        </w:tabs>
        <w:jc w:val="both"/>
        <w:rPr>
          <w:rFonts w:ascii="Times New Roman" w:hAnsi="Times New Roman"/>
          <w:b/>
          <w:sz w:val="26"/>
          <w:szCs w:val="26"/>
        </w:rPr>
      </w:pPr>
      <w:r>
        <w:rPr>
          <w:rFonts w:ascii="Times New Roman" w:hAnsi="Times New Roman"/>
          <w:sz w:val="26"/>
          <w:szCs w:val="26"/>
        </w:rPr>
        <w:tab/>
      </w:r>
    </w:p>
    <w:p w14:paraId="60A4737B" w14:textId="77777777" w:rsidR="007B0087" w:rsidRDefault="007B0087" w:rsidP="007B0087">
      <w:pPr>
        <w:jc w:val="both"/>
        <w:rPr>
          <w:rFonts w:ascii="Times New Roman" w:hAnsi="Times New Roman"/>
          <w:sz w:val="26"/>
          <w:szCs w:val="26"/>
        </w:rPr>
      </w:pPr>
    </w:p>
    <w:p w14:paraId="6A244408" w14:textId="77777777" w:rsidR="00EF4554" w:rsidRDefault="00EF4554" w:rsidP="00EF4554">
      <w:pPr>
        <w:tabs>
          <w:tab w:val="left" w:pos="720"/>
        </w:tabs>
        <w:spacing w:line="480" w:lineRule="auto"/>
        <w:jc w:val="both"/>
        <w:rPr>
          <w:rFonts w:ascii="Times New Roman" w:hAnsi="Times New Roman"/>
          <w:sz w:val="26"/>
          <w:szCs w:val="26"/>
        </w:rPr>
      </w:pPr>
      <w:r>
        <w:rPr>
          <w:rFonts w:ascii="Times New Roman" w:hAnsi="Times New Roman"/>
          <w:sz w:val="26"/>
          <w:szCs w:val="26"/>
        </w:rPr>
        <w:t xml:space="preserve">The Maricopa County Indigent Defense Offices, which jointly represent </w:t>
      </w:r>
      <w:proofErr w:type="gramStart"/>
      <w:r>
        <w:rPr>
          <w:rFonts w:ascii="Times New Roman" w:hAnsi="Times New Roman"/>
          <w:sz w:val="26"/>
          <w:szCs w:val="26"/>
        </w:rPr>
        <w:t>the majority of</w:t>
      </w:r>
      <w:proofErr w:type="gramEnd"/>
      <w:r>
        <w:rPr>
          <w:rFonts w:ascii="Times New Roman" w:hAnsi="Times New Roman"/>
          <w:sz w:val="26"/>
          <w:szCs w:val="26"/>
        </w:rPr>
        <w:t xml:space="preserve"> indigent individuals charged with criminal offenses in our jurisdiction, support the proposed amendment to Rule 15.8(a) of the Arizona Rules of Criminal Procedure.  This </w:t>
      </w:r>
      <w:r>
        <w:rPr>
          <w:rFonts w:ascii="Times New Roman" w:hAnsi="Times New Roman"/>
          <w:sz w:val="26"/>
          <w:szCs w:val="26"/>
        </w:rPr>
        <w:lastRenderedPageBreak/>
        <w:t>rule change is long overdue and necessary to eliminate the arbitrary distinction between the discovery protections afforded to defendants who are proffered plea agreements prior to a probable cause finding, and those proffered plea agreements after probable cause has been found at a preliminary hearing or grand jury proceeding.  The rule as currently written creates an illogical situation by which defendants who have not yet been provided a probable cause hearing pursuant to Article 2, § 30 of the Arizona Constitution are forced to make high-stakes plea decisions with fewer discovery rights than similarly situated defendants for whom probable cause has been established.  The necessity of this rule change is especially critical because of the significant expansion of the scope of early disposition courts in Maricopa and other Arizona counties.</w:t>
      </w:r>
    </w:p>
    <w:p w14:paraId="0C52DC19" w14:textId="77777777" w:rsidR="00EF4554" w:rsidRPr="00D86A8C" w:rsidRDefault="00EF4554" w:rsidP="00EF4554">
      <w:pPr>
        <w:tabs>
          <w:tab w:val="left" w:pos="720"/>
        </w:tabs>
        <w:spacing w:line="480" w:lineRule="auto"/>
        <w:jc w:val="both"/>
        <w:rPr>
          <w:rFonts w:ascii="Times New Roman" w:hAnsi="Times New Roman"/>
          <w:b/>
          <w:bCs/>
          <w:sz w:val="26"/>
          <w:szCs w:val="26"/>
          <w:u w:val="single"/>
        </w:rPr>
      </w:pPr>
      <w:r w:rsidRPr="00D86A8C">
        <w:rPr>
          <w:rFonts w:ascii="Times New Roman" w:hAnsi="Times New Roman"/>
          <w:b/>
          <w:bCs/>
          <w:sz w:val="26"/>
          <w:szCs w:val="26"/>
          <w:u w:val="single"/>
        </w:rPr>
        <w:t>“Early Disposition Courts” in Maricopa County have expanded far beyond their original intent to promote efficacy in resolution of low-level drug possession cases.</w:t>
      </w:r>
    </w:p>
    <w:p w14:paraId="61D261DA" w14:textId="161F29AD" w:rsidR="00EF4554" w:rsidRDefault="00EF4554" w:rsidP="00EF4554">
      <w:pPr>
        <w:tabs>
          <w:tab w:val="left" w:pos="720"/>
        </w:tabs>
        <w:spacing w:line="480" w:lineRule="auto"/>
        <w:jc w:val="both"/>
        <w:rPr>
          <w:rFonts w:ascii="Times New Roman" w:hAnsi="Times New Roman"/>
          <w:sz w:val="26"/>
          <w:szCs w:val="26"/>
        </w:rPr>
      </w:pPr>
      <w:r>
        <w:rPr>
          <w:rFonts w:ascii="Times New Roman" w:hAnsi="Times New Roman"/>
          <w:sz w:val="26"/>
          <w:szCs w:val="26"/>
        </w:rPr>
        <w:tab/>
        <w:t xml:space="preserve">In Maricopa County, </w:t>
      </w:r>
      <w:r w:rsidR="00B6005D">
        <w:rPr>
          <w:rFonts w:ascii="Times New Roman" w:hAnsi="Times New Roman"/>
          <w:sz w:val="26"/>
          <w:szCs w:val="26"/>
        </w:rPr>
        <w:t xml:space="preserve">between July 2020 and April 2022, approximately 32.5% of felony criminal cases </w:t>
      </w:r>
      <w:r w:rsidR="00F13F7F">
        <w:rPr>
          <w:rFonts w:ascii="Times New Roman" w:hAnsi="Times New Roman"/>
          <w:sz w:val="26"/>
          <w:szCs w:val="26"/>
        </w:rPr>
        <w:t xml:space="preserve">assigned to the staffed indigent defense offices </w:t>
      </w:r>
      <w:r w:rsidR="00B6005D">
        <w:rPr>
          <w:rFonts w:ascii="Times New Roman" w:hAnsi="Times New Roman"/>
          <w:sz w:val="26"/>
          <w:szCs w:val="26"/>
        </w:rPr>
        <w:t>were</w:t>
      </w:r>
      <w:r w:rsidR="00FB0A9C">
        <w:rPr>
          <w:rFonts w:ascii="Times New Roman" w:hAnsi="Times New Roman"/>
          <w:sz w:val="26"/>
          <w:szCs w:val="26"/>
        </w:rPr>
        <w:t xml:space="preserve"> initiated by direct complaint and flowed </w:t>
      </w:r>
      <w:r>
        <w:rPr>
          <w:rFonts w:ascii="Times New Roman" w:hAnsi="Times New Roman"/>
          <w:sz w:val="26"/>
          <w:szCs w:val="26"/>
        </w:rPr>
        <w:t>through the Maricopa County Superior Court’s Early Disposition Courts (EDC)</w:t>
      </w:r>
      <w:r w:rsidRPr="000B2BD8">
        <w:rPr>
          <w:rStyle w:val="FootnoteReference"/>
          <w:rFonts w:ascii="Times New Roman" w:hAnsi="Times New Roman"/>
          <w:sz w:val="26"/>
          <w:szCs w:val="26"/>
          <w:vertAlign w:val="superscript"/>
        </w:rPr>
        <w:t xml:space="preserve"> </w:t>
      </w:r>
      <w:r w:rsidRPr="0097411B">
        <w:rPr>
          <w:rStyle w:val="FootnoteReference"/>
          <w:rFonts w:ascii="Times New Roman" w:hAnsi="Times New Roman"/>
          <w:sz w:val="26"/>
          <w:szCs w:val="26"/>
          <w:vertAlign w:val="superscript"/>
        </w:rPr>
        <w:footnoteReference w:id="1"/>
      </w:r>
      <w:r>
        <w:rPr>
          <w:rFonts w:ascii="Times New Roman" w:hAnsi="Times New Roman"/>
          <w:sz w:val="26"/>
          <w:szCs w:val="26"/>
        </w:rPr>
        <w:t xml:space="preserve"> Of those cases, </w:t>
      </w:r>
      <w:r w:rsidR="00BE21DC">
        <w:rPr>
          <w:rFonts w:ascii="Times New Roman" w:hAnsi="Times New Roman"/>
          <w:sz w:val="26"/>
          <w:szCs w:val="26"/>
        </w:rPr>
        <w:t>42.6</w:t>
      </w:r>
      <w:r>
        <w:rPr>
          <w:rFonts w:ascii="Times New Roman" w:hAnsi="Times New Roman"/>
          <w:sz w:val="26"/>
          <w:szCs w:val="26"/>
        </w:rPr>
        <w:t>% resolve</w:t>
      </w:r>
      <w:r w:rsidR="00BE21DC">
        <w:rPr>
          <w:rFonts w:ascii="Times New Roman" w:hAnsi="Times New Roman"/>
          <w:sz w:val="26"/>
          <w:szCs w:val="26"/>
        </w:rPr>
        <w:t>d</w:t>
      </w:r>
      <w:r>
        <w:rPr>
          <w:rFonts w:ascii="Times New Roman" w:hAnsi="Times New Roman"/>
          <w:sz w:val="26"/>
          <w:szCs w:val="26"/>
        </w:rPr>
        <w:t xml:space="preserve"> by way of plea agreement.  While the creation of the EDC was well intentioned and effective in its early years, it is a victim of its own success. The massive expansion of the EDC in Maricopa County has </w:t>
      </w:r>
      <w:r>
        <w:rPr>
          <w:rFonts w:ascii="Times New Roman" w:hAnsi="Times New Roman"/>
          <w:sz w:val="26"/>
          <w:szCs w:val="26"/>
        </w:rPr>
        <w:lastRenderedPageBreak/>
        <w:t xml:space="preserve">undermined due process and the protections afforded defendants by Arizona’s discovery rules.  </w:t>
      </w:r>
    </w:p>
    <w:p w14:paraId="5F00DFEE" w14:textId="77777777" w:rsidR="00EF4554" w:rsidRDefault="00EF4554" w:rsidP="00EF4554">
      <w:pPr>
        <w:tabs>
          <w:tab w:val="left" w:pos="720"/>
        </w:tabs>
        <w:spacing w:line="480" w:lineRule="auto"/>
        <w:jc w:val="both"/>
        <w:rPr>
          <w:rFonts w:ascii="Times New Roman" w:hAnsi="Times New Roman"/>
          <w:sz w:val="26"/>
          <w:szCs w:val="26"/>
        </w:rPr>
      </w:pPr>
      <w:r>
        <w:rPr>
          <w:rFonts w:ascii="Times New Roman" w:hAnsi="Times New Roman"/>
          <w:sz w:val="26"/>
          <w:szCs w:val="26"/>
        </w:rPr>
        <w:tab/>
        <w:t>The EDC was created after the 1996 passage of proposition 200, which modified how drug charges are prosecuted, “necessitating a change in the system to provide incentives to early pleas and earlier treatment</w:t>
      </w:r>
      <w:r w:rsidRPr="00DC24C6">
        <w:rPr>
          <w:rFonts w:ascii="Times New Roman" w:hAnsi="Times New Roman"/>
          <w:sz w:val="26"/>
          <w:szCs w:val="26"/>
        </w:rPr>
        <w:t>.”</w:t>
      </w:r>
      <w:r w:rsidRPr="00DC24C6">
        <w:rPr>
          <w:rStyle w:val="FootnoteReference"/>
          <w:rFonts w:ascii="Times New Roman" w:hAnsi="Times New Roman"/>
          <w:sz w:val="26"/>
          <w:szCs w:val="26"/>
          <w:vertAlign w:val="superscript"/>
        </w:rPr>
        <w:footnoteReference w:id="2"/>
      </w:r>
      <w:r w:rsidRPr="00DC24C6">
        <w:rPr>
          <w:rFonts w:ascii="Times New Roman" w:hAnsi="Times New Roman"/>
          <w:sz w:val="26"/>
          <w:szCs w:val="26"/>
        </w:rPr>
        <w:t xml:space="preserve">  </w:t>
      </w:r>
      <w:r>
        <w:rPr>
          <w:rFonts w:ascii="Times New Roman" w:hAnsi="Times New Roman"/>
          <w:sz w:val="26"/>
          <w:szCs w:val="26"/>
        </w:rPr>
        <w:t xml:space="preserve">The goal of the EDC was to allow simple drug possession cases to resolve by plea agreement or diversion at the earliest opportunity.  The EDC, as originally conceived, was effective in quickly getting prop 200 eligible defendants out of jail and into treatment programs.    </w:t>
      </w:r>
    </w:p>
    <w:p w14:paraId="3F9B9157" w14:textId="77777777" w:rsidR="00EF4554" w:rsidRDefault="00EF4554" w:rsidP="00EF4554">
      <w:pPr>
        <w:tabs>
          <w:tab w:val="left" w:pos="720"/>
        </w:tabs>
        <w:spacing w:line="480" w:lineRule="auto"/>
        <w:ind w:firstLine="540"/>
        <w:jc w:val="both"/>
        <w:rPr>
          <w:rFonts w:ascii="Times New Roman" w:hAnsi="Times New Roman"/>
          <w:sz w:val="26"/>
          <w:szCs w:val="26"/>
        </w:rPr>
      </w:pPr>
      <w:r>
        <w:rPr>
          <w:rFonts w:ascii="Times New Roman" w:hAnsi="Times New Roman"/>
          <w:sz w:val="26"/>
          <w:szCs w:val="26"/>
        </w:rPr>
        <w:t>The EDC model was expanded in 2000 with the consolidation of felony filings from the justice courts to four Regional Court Centers (RCC).</w:t>
      </w:r>
      <w:r w:rsidRPr="00D833C8">
        <w:rPr>
          <w:rStyle w:val="FootnoteReference"/>
          <w:rFonts w:ascii="Times New Roman" w:hAnsi="Times New Roman"/>
          <w:sz w:val="26"/>
          <w:szCs w:val="26"/>
          <w:vertAlign w:val="superscript"/>
        </w:rPr>
        <w:footnoteReference w:id="3"/>
      </w:r>
      <w:r>
        <w:rPr>
          <w:rFonts w:ascii="Times New Roman" w:hAnsi="Times New Roman"/>
          <w:sz w:val="26"/>
          <w:szCs w:val="26"/>
        </w:rPr>
        <w:t xml:space="preserve">  The RCC was “designed to </w:t>
      </w:r>
      <w:r w:rsidRPr="0088547C">
        <w:rPr>
          <w:rFonts w:ascii="Times New Roman" w:hAnsi="Times New Roman"/>
          <w:sz w:val="26"/>
          <w:szCs w:val="26"/>
        </w:rPr>
        <w:t xml:space="preserve">speed resolution of </w:t>
      </w:r>
      <w:proofErr w:type="gramStart"/>
      <w:r w:rsidRPr="0088547C">
        <w:rPr>
          <w:rFonts w:ascii="Times New Roman" w:hAnsi="Times New Roman"/>
          <w:sz w:val="26"/>
          <w:szCs w:val="26"/>
        </w:rPr>
        <w:t>lower</w:t>
      </w:r>
      <w:r>
        <w:rPr>
          <w:rFonts w:ascii="Times New Roman" w:hAnsi="Times New Roman"/>
          <w:sz w:val="26"/>
          <w:szCs w:val="26"/>
        </w:rPr>
        <w:t xml:space="preserve"> </w:t>
      </w:r>
      <w:r w:rsidRPr="0088547C">
        <w:rPr>
          <w:rFonts w:ascii="Times New Roman" w:hAnsi="Times New Roman"/>
          <w:sz w:val="26"/>
          <w:szCs w:val="26"/>
        </w:rPr>
        <w:t>level</w:t>
      </w:r>
      <w:proofErr w:type="gramEnd"/>
      <w:r w:rsidRPr="0088547C">
        <w:rPr>
          <w:rFonts w:ascii="Times New Roman" w:hAnsi="Times New Roman"/>
          <w:sz w:val="26"/>
          <w:szCs w:val="26"/>
        </w:rPr>
        <w:t xml:space="preserve"> criminal cases.</w:t>
      </w:r>
      <w:r>
        <w:rPr>
          <w:rFonts w:ascii="Times New Roman" w:hAnsi="Times New Roman"/>
          <w:sz w:val="26"/>
          <w:szCs w:val="26"/>
        </w:rPr>
        <w:t>”  The Superior Court further explained RCC as follows:</w:t>
      </w:r>
    </w:p>
    <w:p w14:paraId="4E239550" w14:textId="4C35F668" w:rsidR="00EF4554" w:rsidRDefault="00EF4554" w:rsidP="00EF4554">
      <w:pPr>
        <w:tabs>
          <w:tab w:val="left" w:pos="720"/>
        </w:tabs>
        <w:ind w:left="576" w:right="576"/>
        <w:jc w:val="both"/>
        <w:rPr>
          <w:rFonts w:ascii="Times New Roman" w:hAnsi="Times New Roman"/>
          <w:sz w:val="26"/>
          <w:szCs w:val="26"/>
        </w:rPr>
      </w:pPr>
      <w:r w:rsidRPr="0088547C">
        <w:rPr>
          <w:rFonts w:ascii="Times New Roman" w:hAnsi="Times New Roman"/>
          <w:sz w:val="26"/>
          <w:szCs w:val="26"/>
        </w:rPr>
        <w:t>The direct complaint program handles all felony complaints (typically Class 4, 5 and 6 felonies) from inception, eliminating complaint paperwork being transferred between the Justice Court system and Superior Court, with judicial officers able to preside over the full range of case complexities. Preliminary hearings and arraignments are consolidated to the same day at the RCC, which saves ten days of potential jail time for in-custody defendants, eliminates duplication of efforts, and reduces Sheriff Office transport of in-custody defendants to the various Justice Courts. Status Conferences are scheduled a few days in advance of the Preliminary Hearing to encourage early communication between the parties and promote possible case resolution.</w:t>
      </w:r>
      <w:r w:rsidRPr="004B1C57">
        <w:rPr>
          <w:rStyle w:val="FootnoteReference"/>
          <w:rFonts w:ascii="Times New Roman" w:hAnsi="Times New Roman"/>
          <w:sz w:val="26"/>
          <w:szCs w:val="26"/>
          <w:vertAlign w:val="superscript"/>
        </w:rPr>
        <w:footnoteReference w:id="4"/>
      </w:r>
    </w:p>
    <w:p w14:paraId="46240EAE" w14:textId="77777777" w:rsidR="00EF4554" w:rsidRDefault="00EF4554" w:rsidP="00EF4554">
      <w:pPr>
        <w:tabs>
          <w:tab w:val="left" w:pos="720"/>
        </w:tabs>
        <w:spacing w:line="480" w:lineRule="auto"/>
        <w:jc w:val="both"/>
        <w:rPr>
          <w:rFonts w:ascii="Times New Roman" w:hAnsi="Times New Roman"/>
          <w:sz w:val="26"/>
          <w:szCs w:val="26"/>
        </w:rPr>
      </w:pPr>
    </w:p>
    <w:p w14:paraId="70540346" w14:textId="4A121229" w:rsidR="00EF4554" w:rsidRDefault="00EF4554" w:rsidP="00915FAF">
      <w:pPr>
        <w:tabs>
          <w:tab w:val="left" w:pos="720"/>
        </w:tabs>
        <w:spacing w:line="480" w:lineRule="auto"/>
        <w:jc w:val="both"/>
        <w:rPr>
          <w:rFonts w:ascii="Times New Roman" w:hAnsi="Times New Roman"/>
          <w:sz w:val="26"/>
          <w:szCs w:val="26"/>
        </w:rPr>
      </w:pPr>
      <w:r>
        <w:rPr>
          <w:rFonts w:ascii="Times New Roman" w:hAnsi="Times New Roman"/>
          <w:sz w:val="26"/>
          <w:szCs w:val="26"/>
        </w:rPr>
        <w:lastRenderedPageBreak/>
        <w:tab/>
        <w:t xml:space="preserve">In its early years, the RCC, like the EDC, was effective in allowing defendants facing low level felony offenses to get out of jail and onto probation at the earliest opportunity.  However, the practice in EDC has expanded over the past 20 years </w:t>
      </w:r>
      <w:proofErr w:type="gramStart"/>
      <w:r>
        <w:rPr>
          <w:rFonts w:ascii="Times New Roman" w:hAnsi="Times New Roman"/>
          <w:sz w:val="26"/>
          <w:szCs w:val="26"/>
        </w:rPr>
        <w:t>from prosecution of only proposition 200 drug cases</w:t>
      </w:r>
      <w:r w:rsidR="00EA46D0">
        <w:rPr>
          <w:rFonts w:ascii="Times New Roman" w:hAnsi="Times New Roman"/>
          <w:sz w:val="26"/>
          <w:szCs w:val="26"/>
        </w:rPr>
        <w:t>,</w:t>
      </w:r>
      <w:proofErr w:type="gramEnd"/>
      <w:r>
        <w:rPr>
          <w:rFonts w:ascii="Times New Roman" w:hAnsi="Times New Roman"/>
          <w:sz w:val="26"/>
          <w:szCs w:val="26"/>
        </w:rPr>
        <w:t xml:space="preserve"> to prosecution of most low-level felony offenses</w:t>
      </w:r>
      <w:r w:rsidR="00EA46D0">
        <w:rPr>
          <w:rFonts w:ascii="Times New Roman" w:hAnsi="Times New Roman"/>
          <w:sz w:val="26"/>
          <w:szCs w:val="26"/>
        </w:rPr>
        <w:t>,</w:t>
      </w:r>
      <w:r w:rsidR="009979F5">
        <w:rPr>
          <w:rFonts w:ascii="Times New Roman" w:hAnsi="Times New Roman"/>
          <w:sz w:val="26"/>
          <w:szCs w:val="26"/>
        </w:rPr>
        <w:t xml:space="preserve"> to </w:t>
      </w:r>
      <w:r>
        <w:rPr>
          <w:rFonts w:ascii="Times New Roman" w:hAnsi="Times New Roman"/>
          <w:sz w:val="26"/>
          <w:szCs w:val="26"/>
        </w:rPr>
        <w:t xml:space="preserve">prosecution of serious felonies of all types. It is now common for class 2 and 3 felonies to be set for status conferences in the RCC and for the State to make plea offers that require years in prison.  In addition to the changes in case type, the scope of discovery related to criminal investigations has also changed. Where prosecutions in the early 2000s were often limited to short police reports which were provided to counsel in EDC/RCC; discovery now includes hours of body-worn camera footage, recorded interviews, reports authored by all involved law enforcement, photos and more. However, discovery in EDC generally remains limited to </w:t>
      </w:r>
      <w:r w:rsidR="00090B1D">
        <w:rPr>
          <w:rFonts w:ascii="Times New Roman" w:hAnsi="Times New Roman"/>
          <w:sz w:val="26"/>
          <w:szCs w:val="26"/>
        </w:rPr>
        <w:t>the initial</w:t>
      </w:r>
      <w:r w:rsidR="009F2F43">
        <w:rPr>
          <w:rFonts w:ascii="Times New Roman" w:hAnsi="Times New Roman"/>
          <w:sz w:val="26"/>
          <w:szCs w:val="26"/>
        </w:rPr>
        <w:t xml:space="preserve"> </w:t>
      </w:r>
      <w:r>
        <w:rPr>
          <w:rFonts w:ascii="Times New Roman" w:hAnsi="Times New Roman"/>
          <w:sz w:val="26"/>
          <w:szCs w:val="26"/>
        </w:rPr>
        <w:t xml:space="preserve">written reports. The reality of the current EDC system is that defendants are facing high-stakes plea decisions without the protections of a probable cause hearing or discovery rights.  </w:t>
      </w:r>
    </w:p>
    <w:p w14:paraId="620E7B01" w14:textId="77777777" w:rsidR="00EF4554" w:rsidRDefault="00EF4554" w:rsidP="00915FAF">
      <w:pPr>
        <w:tabs>
          <w:tab w:val="left" w:pos="720"/>
        </w:tabs>
        <w:spacing w:line="480" w:lineRule="auto"/>
        <w:jc w:val="both"/>
        <w:rPr>
          <w:rFonts w:ascii="Times New Roman" w:hAnsi="Times New Roman"/>
          <w:sz w:val="26"/>
          <w:szCs w:val="26"/>
        </w:rPr>
      </w:pPr>
      <w:r>
        <w:rPr>
          <w:rFonts w:ascii="Times New Roman" w:hAnsi="Times New Roman"/>
          <w:sz w:val="26"/>
          <w:szCs w:val="26"/>
        </w:rPr>
        <w:tab/>
        <w:t xml:space="preserve">Consequently, it is now rare for cases in the EDC to resolve at the first status conference.  Defense attorneys routinely move for continuances of the status conference and preliminary hearing to investigate case related issues, obtain mitigation, and attempt to negotiate a more favorable plea offer.  These efforts are necessary at this early stage in the case because the rejection of a plea offer in the EDC and subsequently proceeding to preliminary hearing will result in loss of the proffered plea agreement and any future plea </w:t>
      </w:r>
      <w:r>
        <w:rPr>
          <w:rFonts w:ascii="Times New Roman" w:hAnsi="Times New Roman"/>
          <w:sz w:val="26"/>
          <w:szCs w:val="26"/>
        </w:rPr>
        <w:lastRenderedPageBreak/>
        <w:t>agreement offered by the Maricopa County Attorney’s Office (MCAO) will be presumptively harsher.</w:t>
      </w:r>
      <w:r w:rsidRPr="00026D0B">
        <w:rPr>
          <w:rStyle w:val="FootnoteReference"/>
          <w:rFonts w:ascii="Times New Roman" w:hAnsi="Times New Roman"/>
          <w:sz w:val="26"/>
          <w:szCs w:val="26"/>
          <w:vertAlign w:val="superscript"/>
        </w:rPr>
        <w:footnoteReference w:id="5"/>
      </w:r>
    </w:p>
    <w:p w14:paraId="6091C8D3" w14:textId="54CC47A3" w:rsidR="00EF4554" w:rsidRDefault="00EF4554" w:rsidP="00915FAF">
      <w:pPr>
        <w:tabs>
          <w:tab w:val="left" w:pos="720"/>
        </w:tabs>
        <w:spacing w:line="480" w:lineRule="auto"/>
        <w:jc w:val="both"/>
        <w:rPr>
          <w:rFonts w:ascii="Times New Roman" w:hAnsi="Times New Roman"/>
          <w:sz w:val="26"/>
          <w:szCs w:val="26"/>
        </w:rPr>
      </w:pPr>
      <w:r>
        <w:rPr>
          <w:rFonts w:ascii="Times New Roman" w:hAnsi="Times New Roman"/>
          <w:sz w:val="26"/>
          <w:szCs w:val="26"/>
        </w:rPr>
        <w:tab/>
        <w:t xml:space="preserve">Thus, while the EDC was created to eliminate backlogs in trials, it has instead created a backlog of cases in the pre-arraignment stage of criminal case proceedings.  </w:t>
      </w:r>
      <w:r w:rsidR="009B17B0">
        <w:rPr>
          <w:rFonts w:ascii="Times New Roman" w:hAnsi="Times New Roman"/>
          <w:sz w:val="26"/>
          <w:szCs w:val="26"/>
        </w:rPr>
        <w:t xml:space="preserve">This result occurs as the person considers a plea offer to a term of years in prison at the very </w:t>
      </w:r>
      <w:r>
        <w:rPr>
          <w:rFonts w:ascii="Times New Roman" w:hAnsi="Times New Roman"/>
          <w:sz w:val="26"/>
          <w:szCs w:val="26"/>
        </w:rPr>
        <w:t>stage of proceedings in which criminal defendants have the fewest due process protections.</w:t>
      </w:r>
      <w:r w:rsidRPr="0084735D">
        <w:rPr>
          <w:rStyle w:val="FootnoteReference"/>
          <w:rFonts w:ascii="Times New Roman" w:hAnsi="Times New Roman"/>
          <w:sz w:val="26"/>
          <w:szCs w:val="26"/>
          <w:vertAlign w:val="superscript"/>
        </w:rPr>
        <w:footnoteReference w:id="6"/>
      </w:r>
      <w:r>
        <w:rPr>
          <w:rFonts w:ascii="Times New Roman" w:hAnsi="Times New Roman"/>
          <w:sz w:val="26"/>
          <w:szCs w:val="26"/>
        </w:rPr>
        <w:t xml:space="preserve">  </w:t>
      </w:r>
    </w:p>
    <w:p w14:paraId="53D24355" w14:textId="77777777" w:rsidR="00EF4554" w:rsidRPr="00874865" w:rsidRDefault="00EF4554" w:rsidP="00EF4554">
      <w:pPr>
        <w:tabs>
          <w:tab w:val="left" w:pos="720"/>
        </w:tabs>
        <w:spacing w:line="480" w:lineRule="auto"/>
        <w:jc w:val="both"/>
        <w:rPr>
          <w:rFonts w:ascii="Times New Roman" w:hAnsi="Times New Roman"/>
          <w:b/>
          <w:bCs/>
          <w:sz w:val="26"/>
          <w:szCs w:val="26"/>
          <w:u w:val="single"/>
        </w:rPr>
      </w:pPr>
      <w:r w:rsidRPr="00874865">
        <w:rPr>
          <w:rFonts w:ascii="Times New Roman" w:hAnsi="Times New Roman"/>
          <w:b/>
          <w:bCs/>
          <w:sz w:val="26"/>
          <w:szCs w:val="26"/>
          <w:u w:val="single"/>
        </w:rPr>
        <w:t>The protections afforded by Rule 15.8 should apply in all criminal cases.</w:t>
      </w:r>
    </w:p>
    <w:p w14:paraId="446DF74F" w14:textId="77777777" w:rsidR="00EF4554" w:rsidRDefault="00EF4554" w:rsidP="00EF4554">
      <w:pPr>
        <w:tabs>
          <w:tab w:val="left" w:pos="720"/>
        </w:tabs>
        <w:spacing w:line="480" w:lineRule="auto"/>
        <w:jc w:val="both"/>
        <w:rPr>
          <w:rFonts w:ascii="Times New Roman" w:hAnsi="Times New Roman"/>
          <w:sz w:val="26"/>
          <w:szCs w:val="26"/>
        </w:rPr>
      </w:pPr>
      <w:r>
        <w:rPr>
          <w:rFonts w:ascii="Times New Roman" w:hAnsi="Times New Roman"/>
          <w:sz w:val="26"/>
          <w:szCs w:val="26"/>
        </w:rPr>
        <w:tab/>
        <w:t xml:space="preserve">Rule 15.8 of the Rules of Criminal Procedure provides important </w:t>
      </w:r>
      <w:r w:rsidRPr="00B11FBC">
        <w:rPr>
          <w:rFonts w:ascii="Times New Roman" w:hAnsi="Times New Roman"/>
          <w:sz w:val="26"/>
          <w:szCs w:val="26"/>
        </w:rPr>
        <w:t>guardrails</w:t>
      </w:r>
      <w:r>
        <w:rPr>
          <w:rFonts w:ascii="Times New Roman" w:hAnsi="Times New Roman"/>
          <w:sz w:val="26"/>
          <w:szCs w:val="26"/>
        </w:rPr>
        <w:t xml:space="preserve"> necessary to protect a criminal defendant’s fundamental rights of fairness and due process when deciding whether to enter a plea agreement or proceed to trial.</w:t>
      </w:r>
      <w:r w:rsidRPr="006C27E9">
        <w:rPr>
          <w:rFonts w:ascii="Times New Roman" w:hAnsi="Times New Roman"/>
          <w:sz w:val="26"/>
          <w:szCs w:val="26"/>
        </w:rPr>
        <w:t xml:space="preserve">  Under the current practice</w:t>
      </w:r>
      <w:r>
        <w:rPr>
          <w:rFonts w:ascii="Times New Roman" w:hAnsi="Times New Roman"/>
          <w:sz w:val="26"/>
          <w:szCs w:val="26"/>
        </w:rPr>
        <w:t>s</w:t>
      </w:r>
      <w:r w:rsidRPr="006C27E9">
        <w:rPr>
          <w:rFonts w:ascii="Times New Roman" w:hAnsi="Times New Roman"/>
          <w:sz w:val="26"/>
          <w:szCs w:val="26"/>
        </w:rPr>
        <w:t xml:space="preserve"> in the EDC, however, the State can, and regularly does, make an end-run around </w:t>
      </w:r>
      <w:r>
        <w:rPr>
          <w:rFonts w:ascii="Times New Roman" w:hAnsi="Times New Roman"/>
          <w:sz w:val="26"/>
          <w:szCs w:val="26"/>
        </w:rPr>
        <w:t>those guardrails because the language of 15.8(a) inexplicably precludes felony cases filed by direct complaint from the disclosure obligations</w:t>
      </w:r>
      <w:r w:rsidRPr="006C27E9">
        <w:rPr>
          <w:rFonts w:ascii="Times New Roman" w:hAnsi="Times New Roman"/>
          <w:sz w:val="26"/>
          <w:szCs w:val="26"/>
        </w:rPr>
        <w:t xml:space="preserve">. While the proposed rule change will not remedy </w:t>
      </w:r>
      <w:r>
        <w:rPr>
          <w:rFonts w:ascii="Times New Roman" w:hAnsi="Times New Roman"/>
          <w:sz w:val="26"/>
          <w:szCs w:val="26"/>
        </w:rPr>
        <w:t>all the harms of MCAO’s pre-arraignment plea policies, it will allow defendants the ability to make more informed decisions about whether to accept a plea agreement or proceed to trial.</w:t>
      </w:r>
    </w:p>
    <w:p w14:paraId="17C1D61B" w14:textId="77777777" w:rsidR="003B40C4" w:rsidRDefault="003B40C4" w:rsidP="00EF4554">
      <w:pPr>
        <w:tabs>
          <w:tab w:val="left" w:pos="720"/>
        </w:tabs>
        <w:spacing w:line="480" w:lineRule="auto"/>
        <w:jc w:val="both"/>
        <w:rPr>
          <w:rFonts w:ascii="Times New Roman" w:hAnsi="Times New Roman"/>
          <w:sz w:val="26"/>
          <w:szCs w:val="26"/>
        </w:rPr>
      </w:pPr>
    </w:p>
    <w:p w14:paraId="49B56CF6" w14:textId="77777777" w:rsidR="00EF4554" w:rsidRDefault="00EF4554" w:rsidP="00EF4554">
      <w:pPr>
        <w:tabs>
          <w:tab w:val="left" w:pos="720"/>
        </w:tabs>
        <w:spacing w:line="480" w:lineRule="auto"/>
        <w:jc w:val="both"/>
        <w:rPr>
          <w:rFonts w:ascii="Times New Roman" w:hAnsi="Times New Roman"/>
          <w:sz w:val="26"/>
          <w:szCs w:val="26"/>
        </w:rPr>
      </w:pPr>
      <w:r>
        <w:rPr>
          <w:rFonts w:ascii="Times New Roman" w:hAnsi="Times New Roman"/>
          <w:sz w:val="26"/>
          <w:szCs w:val="26"/>
        </w:rPr>
        <w:lastRenderedPageBreak/>
        <w:tab/>
        <w:t xml:space="preserve">Additionally, as argued in the petition, the proposed rule change will clarify that the state must provide Rule 15.1(b) discovery to the defense when proffering plea agreements in both felony </w:t>
      </w:r>
      <w:r w:rsidRPr="00B5231B">
        <w:rPr>
          <w:rFonts w:ascii="Times New Roman" w:hAnsi="Times New Roman"/>
          <w:i/>
          <w:iCs/>
          <w:sz w:val="26"/>
          <w:szCs w:val="26"/>
        </w:rPr>
        <w:t>and</w:t>
      </w:r>
      <w:r>
        <w:rPr>
          <w:rFonts w:ascii="Times New Roman" w:hAnsi="Times New Roman"/>
          <w:sz w:val="26"/>
          <w:szCs w:val="26"/>
        </w:rPr>
        <w:t xml:space="preserve"> misdemeanor cases.  This is a commonsense measure to promote fairness in pre-trial plea negotiations and promotes confidence in the criminal justice system. Regardless of the classification of an offense, an individual should not be in a position of waiving their rights and deciding whether to plead guilty, without the benefit of seeing the extent of the government’s evidence. </w:t>
      </w:r>
    </w:p>
    <w:p w14:paraId="5021FC59" w14:textId="77777777" w:rsidR="00EF4554" w:rsidRPr="00CB0286" w:rsidRDefault="00EF4554" w:rsidP="00EF4554">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Pr="00CB0286">
        <w:rPr>
          <w:rFonts w:ascii="Times New Roman" w:hAnsi="Times New Roman"/>
          <w:sz w:val="26"/>
          <w:szCs w:val="26"/>
        </w:rPr>
        <w:t>For the</w:t>
      </w:r>
      <w:r>
        <w:rPr>
          <w:rFonts w:ascii="Times New Roman" w:hAnsi="Times New Roman"/>
          <w:sz w:val="26"/>
          <w:szCs w:val="26"/>
        </w:rPr>
        <w:t xml:space="preserve"> reasons stated above</w:t>
      </w:r>
      <w:r w:rsidRPr="00CB0286">
        <w:rPr>
          <w:rFonts w:ascii="Times New Roman" w:hAnsi="Times New Roman"/>
          <w:sz w:val="26"/>
          <w:szCs w:val="26"/>
        </w:rPr>
        <w:t xml:space="preserve">, the directors of the indigent defense agencies of Maricopa County support the </w:t>
      </w:r>
      <w:r>
        <w:rPr>
          <w:rFonts w:ascii="Times New Roman" w:hAnsi="Times New Roman"/>
          <w:sz w:val="26"/>
          <w:szCs w:val="26"/>
        </w:rPr>
        <w:t>proposed amendment to Rule 15.8(a) of the Arizona Rules of Criminal Procedure.</w:t>
      </w:r>
    </w:p>
    <w:p w14:paraId="54521B9E" w14:textId="288BEE39" w:rsidR="001926E3" w:rsidRDefault="00012A53" w:rsidP="00F50250">
      <w:pPr>
        <w:spacing w:line="480" w:lineRule="auto"/>
        <w:jc w:val="both"/>
        <w:rPr>
          <w:rFonts w:ascii="Times New Roman" w:hAnsi="Times New Roman"/>
          <w:sz w:val="26"/>
          <w:szCs w:val="26"/>
        </w:rPr>
      </w:pPr>
      <w:r>
        <w:rPr>
          <w:rFonts w:ascii="Times New Roman" w:hAnsi="Times New Roman"/>
          <w:sz w:val="26"/>
          <w:szCs w:val="26"/>
        </w:rPr>
        <w:tab/>
      </w:r>
    </w:p>
    <w:p w14:paraId="2296EDC7" w14:textId="4DDAF8C8" w:rsidR="00717A13" w:rsidRPr="00CB0286" w:rsidRDefault="00717A13" w:rsidP="00944326">
      <w:pPr>
        <w:tabs>
          <w:tab w:val="left" w:pos="720"/>
        </w:tabs>
        <w:spacing w:line="480" w:lineRule="auto"/>
        <w:jc w:val="both"/>
        <w:rPr>
          <w:rFonts w:ascii="Times New Roman" w:hAnsi="Times New Roman"/>
          <w:sz w:val="26"/>
          <w:szCs w:val="26"/>
        </w:rPr>
      </w:pPr>
    </w:p>
    <w:sectPr w:rsidR="00717A13" w:rsidRPr="00CB0286" w:rsidSect="000F2207">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2308" w14:textId="77777777" w:rsidR="00C25783" w:rsidRDefault="00C25783">
      <w:r>
        <w:separator/>
      </w:r>
    </w:p>
  </w:endnote>
  <w:endnote w:type="continuationSeparator" w:id="0">
    <w:p w14:paraId="519F4D1E" w14:textId="77777777" w:rsidR="00C25783" w:rsidRDefault="00C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9D9D" w14:textId="77777777" w:rsidR="00242ECD" w:rsidRDefault="00242E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C7C75" w14:textId="77777777" w:rsidR="00242ECD" w:rsidRDefault="00242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8282" w14:textId="77777777" w:rsidR="00242ECD" w:rsidRDefault="00242ECD">
    <w:pPr>
      <w:spacing w:line="240" w:lineRule="exact"/>
    </w:pPr>
  </w:p>
  <w:p w14:paraId="61C6694D" w14:textId="77777777" w:rsidR="00242ECD" w:rsidRPr="00C67EFD" w:rsidRDefault="00242ECD">
    <w:pPr>
      <w:framePr w:wrap="around" w:vAnchor="text" w:hAnchor="margin" w:xAlign="center" w:y="1"/>
      <w:jc w:val="center"/>
      <w:rPr>
        <w:sz w:val="18"/>
        <w:szCs w:val="18"/>
      </w:rPr>
    </w:pPr>
    <w:r w:rsidRPr="00C67EFD">
      <w:rPr>
        <w:sz w:val="18"/>
        <w:szCs w:val="18"/>
      </w:rPr>
      <w:fldChar w:fldCharType="begin"/>
    </w:r>
    <w:r w:rsidRPr="00C67EFD">
      <w:rPr>
        <w:sz w:val="18"/>
        <w:szCs w:val="18"/>
      </w:rPr>
      <w:instrText xml:space="preserve">PAGE </w:instrText>
    </w:r>
    <w:r w:rsidRPr="00C67EFD">
      <w:rPr>
        <w:sz w:val="18"/>
        <w:szCs w:val="18"/>
      </w:rPr>
      <w:fldChar w:fldCharType="separate"/>
    </w:r>
    <w:r w:rsidR="008B7530">
      <w:rPr>
        <w:noProof/>
        <w:sz w:val="18"/>
        <w:szCs w:val="18"/>
      </w:rPr>
      <w:t>2</w:t>
    </w:r>
    <w:r w:rsidRPr="00C67EFD">
      <w:rPr>
        <w:sz w:val="18"/>
        <w:szCs w:val="18"/>
      </w:rPr>
      <w:fldChar w:fldCharType="end"/>
    </w:r>
  </w:p>
  <w:p w14:paraId="13C29208" w14:textId="77777777" w:rsidR="00242ECD" w:rsidRDefault="00242E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2AE6" w14:textId="77777777" w:rsidR="00242ECD" w:rsidRDefault="0024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B91B" w14:textId="77777777" w:rsidR="00C25783" w:rsidRDefault="00C25783">
      <w:r>
        <w:separator/>
      </w:r>
    </w:p>
  </w:footnote>
  <w:footnote w:type="continuationSeparator" w:id="0">
    <w:p w14:paraId="2AF0DD66" w14:textId="77777777" w:rsidR="00C25783" w:rsidRDefault="00C25783">
      <w:r>
        <w:continuationSeparator/>
      </w:r>
    </w:p>
  </w:footnote>
  <w:footnote w:id="1">
    <w:p w14:paraId="42DABA26" w14:textId="77777777" w:rsidR="00EF4554" w:rsidRPr="009551D7" w:rsidRDefault="00EF4554" w:rsidP="00EF4554">
      <w:pPr>
        <w:pStyle w:val="FootnoteText"/>
        <w:rPr>
          <w:rFonts w:ascii="Times New Roman" w:hAnsi="Times New Roman"/>
          <w:sz w:val="18"/>
          <w:szCs w:val="18"/>
        </w:rPr>
      </w:pPr>
      <w:r w:rsidRPr="009551D7">
        <w:rPr>
          <w:rStyle w:val="FootnoteReference"/>
          <w:rFonts w:ascii="Times New Roman" w:hAnsi="Times New Roman"/>
          <w:sz w:val="18"/>
          <w:szCs w:val="18"/>
        </w:rPr>
        <w:footnoteRef/>
      </w:r>
      <w:r w:rsidRPr="009551D7">
        <w:rPr>
          <w:rFonts w:ascii="Times New Roman" w:hAnsi="Times New Roman"/>
          <w:sz w:val="18"/>
          <w:szCs w:val="18"/>
        </w:rPr>
        <w:t xml:space="preserve"> Previously called “expedited drug court</w:t>
      </w:r>
      <w:r>
        <w:rPr>
          <w:rFonts w:ascii="Times New Roman" w:hAnsi="Times New Roman"/>
          <w:sz w:val="18"/>
          <w:szCs w:val="18"/>
        </w:rPr>
        <w:t>.</w:t>
      </w:r>
      <w:r w:rsidRPr="009551D7">
        <w:rPr>
          <w:rFonts w:ascii="Times New Roman" w:hAnsi="Times New Roman"/>
          <w:sz w:val="18"/>
          <w:szCs w:val="18"/>
        </w:rPr>
        <w:t xml:space="preserve">” </w:t>
      </w:r>
      <w:r>
        <w:rPr>
          <w:rFonts w:ascii="Times New Roman" w:hAnsi="Times New Roman"/>
          <w:sz w:val="18"/>
          <w:szCs w:val="18"/>
        </w:rPr>
        <w:t>From 2000-2020, EDC heard felony drug possession cases while non-drug felony cases were heard, using the same model, in the Regional Court Center (RCC).  EDC and RCC were combined in 2020 and currently all the early resolution courts are referred to as EDC.</w:t>
      </w:r>
    </w:p>
  </w:footnote>
  <w:footnote w:id="2">
    <w:p w14:paraId="6FE59C5F" w14:textId="27DD500E" w:rsidR="00EF4554" w:rsidRPr="00623595" w:rsidRDefault="00EF4554" w:rsidP="00EF4554">
      <w:pPr>
        <w:pStyle w:val="FootnoteText"/>
        <w:rPr>
          <w:rFonts w:ascii="Times New Roman" w:hAnsi="Times New Roman"/>
          <w:sz w:val="18"/>
          <w:szCs w:val="18"/>
        </w:rPr>
      </w:pPr>
      <w:r w:rsidRPr="00623595">
        <w:rPr>
          <w:rStyle w:val="FootnoteReference"/>
          <w:rFonts w:ascii="Times New Roman" w:hAnsi="Times New Roman"/>
          <w:sz w:val="18"/>
          <w:szCs w:val="18"/>
        </w:rPr>
        <w:footnoteRef/>
      </w:r>
      <w:r w:rsidRPr="00623595">
        <w:rPr>
          <w:rFonts w:ascii="Times New Roman" w:hAnsi="Times New Roman"/>
          <w:sz w:val="18"/>
          <w:szCs w:val="18"/>
        </w:rPr>
        <w:t xml:space="preserve"> </w:t>
      </w:r>
      <w:bookmarkStart w:id="0" w:name="_Hlk99530027"/>
      <w:r w:rsidRPr="00623595">
        <w:rPr>
          <w:rFonts w:ascii="Times New Roman" w:hAnsi="Times New Roman"/>
          <w:sz w:val="18"/>
          <w:szCs w:val="18"/>
        </w:rPr>
        <w:t xml:space="preserve">See </w:t>
      </w:r>
      <w:hyperlink r:id="rId1" w:history="1">
        <w:r w:rsidRPr="00D159EA">
          <w:rPr>
            <w:rStyle w:val="Hyperlink"/>
            <w:rFonts w:ascii="Times New Roman" w:hAnsi="Times New Roman"/>
            <w:sz w:val="18"/>
            <w:szCs w:val="18"/>
          </w:rPr>
          <w:t>https://superiorcourt.maricopa.gov/criminal/specialized-courts/</w:t>
        </w:r>
      </w:hyperlink>
      <w:r w:rsidRPr="00623595">
        <w:rPr>
          <w:rFonts w:ascii="Times New Roman" w:hAnsi="Times New Roman"/>
          <w:sz w:val="18"/>
          <w:szCs w:val="18"/>
        </w:rPr>
        <w:t xml:space="preserve"> </w:t>
      </w:r>
      <w:bookmarkEnd w:id="0"/>
    </w:p>
  </w:footnote>
  <w:footnote w:id="3">
    <w:p w14:paraId="56ACD2FC" w14:textId="77777777" w:rsidR="00EF4554" w:rsidRPr="00D159EA" w:rsidRDefault="00EF4554" w:rsidP="00EF4554">
      <w:pPr>
        <w:pStyle w:val="FootnoteText"/>
        <w:rPr>
          <w:rFonts w:ascii="Times New Roman" w:hAnsi="Times New Roman"/>
          <w:sz w:val="18"/>
          <w:szCs w:val="18"/>
        </w:rPr>
      </w:pPr>
      <w:r w:rsidRPr="00D159EA">
        <w:rPr>
          <w:rStyle w:val="FootnoteReference"/>
          <w:rFonts w:ascii="Times New Roman" w:hAnsi="Times New Roman"/>
          <w:sz w:val="18"/>
          <w:szCs w:val="18"/>
        </w:rPr>
        <w:footnoteRef/>
      </w:r>
      <w:r w:rsidRPr="00D159EA">
        <w:rPr>
          <w:rFonts w:ascii="Times New Roman" w:hAnsi="Times New Roman"/>
          <w:sz w:val="18"/>
          <w:szCs w:val="18"/>
        </w:rPr>
        <w:t xml:space="preserve"> See Maricopa County Superior Court </w:t>
      </w:r>
      <w:hyperlink r:id="rId2" w:history="1">
        <w:r w:rsidRPr="00D54571">
          <w:rPr>
            <w:rStyle w:val="Hyperlink"/>
            <w:rFonts w:ascii="Times New Roman" w:hAnsi="Times New Roman"/>
            <w:sz w:val="18"/>
            <w:szCs w:val="18"/>
          </w:rPr>
          <w:t>Administrative Order 2000-70</w:t>
        </w:r>
      </w:hyperlink>
      <w:r w:rsidRPr="00D159EA">
        <w:rPr>
          <w:rFonts w:ascii="Times New Roman" w:hAnsi="Times New Roman"/>
          <w:sz w:val="18"/>
          <w:szCs w:val="18"/>
        </w:rPr>
        <w:t>.</w:t>
      </w:r>
    </w:p>
  </w:footnote>
  <w:footnote w:id="4">
    <w:p w14:paraId="3F26EBBB" w14:textId="77777777" w:rsidR="00EF4554" w:rsidRPr="00D159EA" w:rsidRDefault="00EF4554" w:rsidP="00EF4554">
      <w:pPr>
        <w:pStyle w:val="FootnoteText"/>
        <w:rPr>
          <w:rFonts w:ascii="Times New Roman" w:hAnsi="Times New Roman"/>
          <w:sz w:val="18"/>
          <w:szCs w:val="18"/>
        </w:rPr>
      </w:pPr>
      <w:r w:rsidRPr="00D159EA">
        <w:rPr>
          <w:rStyle w:val="FootnoteReference"/>
          <w:rFonts w:ascii="Times New Roman" w:hAnsi="Times New Roman"/>
          <w:sz w:val="18"/>
          <w:szCs w:val="18"/>
        </w:rPr>
        <w:footnoteRef/>
      </w:r>
      <w:r w:rsidRPr="00D159EA">
        <w:rPr>
          <w:rFonts w:ascii="Times New Roman" w:hAnsi="Times New Roman"/>
          <w:sz w:val="18"/>
          <w:szCs w:val="18"/>
        </w:rPr>
        <w:t xml:space="preserve"> See </w:t>
      </w:r>
      <w:hyperlink r:id="rId3" w:history="1">
        <w:r w:rsidRPr="00D159EA">
          <w:rPr>
            <w:rStyle w:val="Hyperlink"/>
            <w:rFonts w:ascii="Times New Roman" w:hAnsi="Times New Roman"/>
            <w:sz w:val="18"/>
            <w:szCs w:val="18"/>
          </w:rPr>
          <w:t>https://superiorcourt.maricopa.gov/criminal/department-information/</w:t>
        </w:r>
      </w:hyperlink>
      <w:r w:rsidRPr="00D159EA">
        <w:rPr>
          <w:rFonts w:ascii="Times New Roman" w:hAnsi="Times New Roman"/>
          <w:sz w:val="18"/>
          <w:szCs w:val="18"/>
        </w:rPr>
        <w:t xml:space="preserve"> (page last updated 7/9/2019.)</w:t>
      </w:r>
    </w:p>
  </w:footnote>
  <w:footnote w:id="5">
    <w:p w14:paraId="532E4B23" w14:textId="77777777" w:rsidR="00EF4554" w:rsidRPr="00D159EA" w:rsidRDefault="00EF4554" w:rsidP="00EF4554">
      <w:pPr>
        <w:pStyle w:val="FootnoteText"/>
        <w:rPr>
          <w:rFonts w:ascii="Times New Roman" w:hAnsi="Times New Roman"/>
          <w:sz w:val="18"/>
          <w:szCs w:val="18"/>
        </w:rPr>
      </w:pPr>
      <w:r w:rsidRPr="00D159EA">
        <w:rPr>
          <w:rStyle w:val="FootnoteReference"/>
          <w:rFonts w:ascii="Times New Roman" w:hAnsi="Times New Roman"/>
          <w:sz w:val="18"/>
          <w:szCs w:val="18"/>
        </w:rPr>
        <w:footnoteRef/>
      </w:r>
      <w:r w:rsidRPr="00D159EA">
        <w:rPr>
          <w:rFonts w:ascii="Times New Roman" w:hAnsi="Times New Roman"/>
          <w:sz w:val="18"/>
          <w:szCs w:val="18"/>
        </w:rPr>
        <w:t xml:space="preserve"> </w:t>
      </w:r>
      <w:r>
        <w:rPr>
          <w:rFonts w:ascii="Times New Roman" w:hAnsi="Times New Roman"/>
          <w:sz w:val="18"/>
          <w:szCs w:val="18"/>
        </w:rPr>
        <w:t xml:space="preserve">See MCAO Prosecution Policies and Procedures, </w:t>
      </w:r>
      <w:hyperlink r:id="rId4" w:history="1">
        <w:r w:rsidRPr="00EA1459">
          <w:rPr>
            <w:rStyle w:val="Hyperlink"/>
            <w:rFonts w:ascii="Times New Roman" w:hAnsi="Times New Roman"/>
            <w:sz w:val="18"/>
            <w:szCs w:val="18"/>
          </w:rPr>
          <w:t>Procedure 7.1(J)</w:t>
        </w:r>
      </w:hyperlink>
      <w:r>
        <w:rPr>
          <w:rFonts w:ascii="Times New Roman" w:hAnsi="Times New Roman"/>
          <w:sz w:val="18"/>
          <w:szCs w:val="18"/>
        </w:rPr>
        <w:t>.</w:t>
      </w:r>
    </w:p>
  </w:footnote>
  <w:footnote w:id="6">
    <w:p w14:paraId="32054E44" w14:textId="77777777" w:rsidR="00EF4554" w:rsidRDefault="00EF4554" w:rsidP="00EF4554">
      <w:pPr>
        <w:pStyle w:val="FootnoteText"/>
      </w:pPr>
      <w:r w:rsidRPr="00D159EA">
        <w:rPr>
          <w:rStyle w:val="FootnoteReference"/>
          <w:rFonts w:ascii="Times New Roman" w:hAnsi="Times New Roman"/>
          <w:sz w:val="18"/>
          <w:szCs w:val="18"/>
        </w:rPr>
        <w:footnoteRef/>
      </w:r>
      <w:r w:rsidRPr="00D159EA">
        <w:rPr>
          <w:rFonts w:ascii="Times New Roman" w:hAnsi="Times New Roman"/>
          <w:sz w:val="18"/>
          <w:szCs w:val="18"/>
        </w:rPr>
        <w:t xml:space="preserve"> </w:t>
      </w:r>
      <w:r>
        <w:rPr>
          <w:rFonts w:ascii="Times New Roman" w:hAnsi="Times New Roman"/>
          <w:sz w:val="18"/>
          <w:szCs w:val="18"/>
        </w:rPr>
        <w:t xml:space="preserve">In addition to the inapplicability of Rule 15 discovery rights, </w:t>
      </w:r>
      <w:r w:rsidRPr="00D159EA">
        <w:rPr>
          <w:rFonts w:ascii="Times New Roman" w:hAnsi="Times New Roman"/>
          <w:sz w:val="18"/>
          <w:szCs w:val="18"/>
        </w:rPr>
        <w:t xml:space="preserve">Rule 8 speedy trial rights and Rule 16 </w:t>
      </w:r>
      <w:r>
        <w:rPr>
          <w:rFonts w:ascii="Times New Roman" w:hAnsi="Times New Roman"/>
          <w:sz w:val="18"/>
          <w:szCs w:val="18"/>
        </w:rPr>
        <w:t xml:space="preserve">motions </w:t>
      </w:r>
      <w:r w:rsidRPr="00D159EA">
        <w:rPr>
          <w:rFonts w:ascii="Times New Roman" w:hAnsi="Times New Roman"/>
          <w:sz w:val="18"/>
          <w:szCs w:val="18"/>
        </w:rPr>
        <w:t xml:space="preserve">to challenge the constitutionality of evidence obtained by the </w:t>
      </w:r>
      <w:r w:rsidRPr="003D45EC">
        <w:rPr>
          <w:rFonts w:ascii="Times New Roman" w:hAnsi="Times New Roman"/>
          <w:sz w:val="18"/>
          <w:szCs w:val="18"/>
        </w:rPr>
        <w:t>government are inapplicable prior to arraignment.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2F4" w14:textId="77777777" w:rsidR="00242ECD" w:rsidRDefault="00242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D676" w14:textId="77777777" w:rsidR="00242ECD" w:rsidRDefault="00242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68BE" w14:textId="77777777" w:rsidR="00242ECD" w:rsidRDefault="00242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57"/>
    <w:multiLevelType w:val="hybridMultilevel"/>
    <w:tmpl w:val="A57274A4"/>
    <w:lvl w:ilvl="0" w:tplc="9E98BB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C74A2"/>
    <w:multiLevelType w:val="hybridMultilevel"/>
    <w:tmpl w:val="90FA385C"/>
    <w:lvl w:ilvl="0" w:tplc="689C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535DD"/>
    <w:multiLevelType w:val="hybridMultilevel"/>
    <w:tmpl w:val="4CAE03F0"/>
    <w:lvl w:ilvl="0" w:tplc="CDA48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65662E"/>
    <w:multiLevelType w:val="singleLevel"/>
    <w:tmpl w:val="87682042"/>
    <w:lvl w:ilvl="0">
      <w:start w:val="11"/>
      <w:numFmt w:val="decimal"/>
      <w:lvlText w:val="%1."/>
      <w:lvlJc w:val="left"/>
      <w:pPr>
        <w:tabs>
          <w:tab w:val="num" w:pos="1080"/>
        </w:tabs>
        <w:ind w:left="1080" w:hanging="360"/>
      </w:pPr>
      <w:rPr>
        <w:rFonts w:hint="default"/>
      </w:rPr>
    </w:lvl>
  </w:abstractNum>
  <w:abstractNum w:abstractNumId="4" w15:restartNumberingAfterBreak="0">
    <w:nsid w:val="609D26D7"/>
    <w:multiLevelType w:val="hybridMultilevel"/>
    <w:tmpl w:val="CC349500"/>
    <w:lvl w:ilvl="0" w:tplc="19786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3B480E"/>
    <w:multiLevelType w:val="singleLevel"/>
    <w:tmpl w:val="02C8084A"/>
    <w:lvl w:ilvl="0">
      <w:start w:val="11"/>
      <w:numFmt w:val="decimal"/>
      <w:lvlText w:val="%1."/>
      <w:lvlJc w:val="left"/>
      <w:pPr>
        <w:tabs>
          <w:tab w:val="num" w:pos="1080"/>
        </w:tabs>
        <w:ind w:left="1080" w:hanging="360"/>
      </w:pPr>
      <w:rPr>
        <w:rFonts w:hint="default"/>
      </w:rPr>
    </w:lvl>
  </w:abstractNum>
  <w:abstractNum w:abstractNumId="6" w15:restartNumberingAfterBreak="0">
    <w:nsid w:val="6BA01826"/>
    <w:multiLevelType w:val="singleLevel"/>
    <w:tmpl w:val="1D00DAF2"/>
    <w:lvl w:ilvl="0">
      <w:start w:val="11"/>
      <w:numFmt w:val="decimal"/>
      <w:lvlText w:val="%1."/>
      <w:lvlJc w:val="left"/>
      <w:pPr>
        <w:tabs>
          <w:tab w:val="num" w:pos="1440"/>
        </w:tabs>
        <w:ind w:left="1440" w:hanging="720"/>
      </w:pPr>
      <w:rPr>
        <w:rFonts w:hint="default"/>
      </w:rPr>
    </w:lvl>
  </w:abstractNum>
  <w:num w:numId="1">
    <w:abstractNumId w:val="6"/>
  </w:num>
  <w:num w:numId="2">
    <w:abstractNumId w:val="3"/>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61"/>
    <w:rsid w:val="0000108F"/>
    <w:rsid w:val="00001147"/>
    <w:rsid w:val="0000115E"/>
    <w:rsid w:val="0000476E"/>
    <w:rsid w:val="00006810"/>
    <w:rsid w:val="00006C6B"/>
    <w:rsid w:val="00006C81"/>
    <w:rsid w:val="00007386"/>
    <w:rsid w:val="00012A53"/>
    <w:rsid w:val="00012E17"/>
    <w:rsid w:val="0001455D"/>
    <w:rsid w:val="00014886"/>
    <w:rsid w:val="00015F79"/>
    <w:rsid w:val="00016E7D"/>
    <w:rsid w:val="000203C2"/>
    <w:rsid w:val="00022ECF"/>
    <w:rsid w:val="00026D0B"/>
    <w:rsid w:val="00027CD4"/>
    <w:rsid w:val="00027EC6"/>
    <w:rsid w:val="000343F2"/>
    <w:rsid w:val="00041716"/>
    <w:rsid w:val="00041EA8"/>
    <w:rsid w:val="000444CE"/>
    <w:rsid w:val="000446AF"/>
    <w:rsid w:val="0004534E"/>
    <w:rsid w:val="0004672C"/>
    <w:rsid w:val="00047375"/>
    <w:rsid w:val="00051922"/>
    <w:rsid w:val="0005378E"/>
    <w:rsid w:val="000544B0"/>
    <w:rsid w:val="000607A0"/>
    <w:rsid w:val="00062EAD"/>
    <w:rsid w:val="000669D7"/>
    <w:rsid w:val="00067448"/>
    <w:rsid w:val="00070313"/>
    <w:rsid w:val="00072D15"/>
    <w:rsid w:val="000730DA"/>
    <w:rsid w:val="00077F63"/>
    <w:rsid w:val="00082F06"/>
    <w:rsid w:val="0008620F"/>
    <w:rsid w:val="00087C78"/>
    <w:rsid w:val="00090B1D"/>
    <w:rsid w:val="00092078"/>
    <w:rsid w:val="00096FE3"/>
    <w:rsid w:val="000977CD"/>
    <w:rsid w:val="000A22E8"/>
    <w:rsid w:val="000A34AF"/>
    <w:rsid w:val="000A6B46"/>
    <w:rsid w:val="000A7C1F"/>
    <w:rsid w:val="000B141F"/>
    <w:rsid w:val="000B2BD8"/>
    <w:rsid w:val="000B4147"/>
    <w:rsid w:val="000C203F"/>
    <w:rsid w:val="000C2E34"/>
    <w:rsid w:val="000C4B6B"/>
    <w:rsid w:val="000C5E01"/>
    <w:rsid w:val="000C6651"/>
    <w:rsid w:val="000D28B2"/>
    <w:rsid w:val="000D5085"/>
    <w:rsid w:val="000D6761"/>
    <w:rsid w:val="000D6C29"/>
    <w:rsid w:val="000E0273"/>
    <w:rsid w:val="000E2679"/>
    <w:rsid w:val="000E534C"/>
    <w:rsid w:val="000E645B"/>
    <w:rsid w:val="000E6AF9"/>
    <w:rsid w:val="000F0ADC"/>
    <w:rsid w:val="000F2207"/>
    <w:rsid w:val="000F2348"/>
    <w:rsid w:val="000F366E"/>
    <w:rsid w:val="000F4367"/>
    <w:rsid w:val="000F48C6"/>
    <w:rsid w:val="000F4E60"/>
    <w:rsid w:val="000F6347"/>
    <w:rsid w:val="00100A66"/>
    <w:rsid w:val="00101862"/>
    <w:rsid w:val="00104475"/>
    <w:rsid w:val="00106E44"/>
    <w:rsid w:val="00110149"/>
    <w:rsid w:val="0011034C"/>
    <w:rsid w:val="00112EDD"/>
    <w:rsid w:val="0011308B"/>
    <w:rsid w:val="00115A79"/>
    <w:rsid w:val="00120D05"/>
    <w:rsid w:val="00122B2E"/>
    <w:rsid w:val="00125765"/>
    <w:rsid w:val="0013034F"/>
    <w:rsid w:val="001309B4"/>
    <w:rsid w:val="00133152"/>
    <w:rsid w:val="00133370"/>
    <w:rsid w:val="0013727A"/>
    <w:rsid w:val="001438D3"/>
    <w:rsid w:val="001463B4"/>
    <w:rsid w:val="00147551"/>
    <w:rsid w:val="00154DB4"/>
    <w:rsid w:val="001554A1"/>
    <w:rsid w:val="0015611B"/>
    <w:rsid w:val="001568D9"/>
    <w:rsid w:val="0015774C"/>
    <w:rsid w:val="001577F9"/>
    <w:rsid w:val="001610BA"/>
    <w:rsid w:val="00162C11"/>
    <w:rsid w:val="00162DF5"/>
    <w:rsid w:val="00170C47"/>
    <w:rsid w:val="001717F8"/>
    <w:rsid w:val="00174335"/>
    <w:rsid w:val="001759A0"/>
    <w:rsid w:val="00176E59"/>
    <w:rsid w:val="00181575"/>
    <w:rsid w:val="0018293F"/>
    <w:rsid w:val="00182C0E"/>
    <w:rsid w:val="00183B83"/>
    <w:rsid w:val="00185A9C"/>
    <w:rsid w:val="001904C6"/>
    <w:rsid w:val="00190D6B"/>
    <w:rsid w:val="00191516"/>
    <w:rsid w:val="001926E3"/>
    <w:rsid w:val="0019327D"/>
    <w:rsid w:val="001A3B2A"/>
    <w:rsid w:val="001A44C1"/>
    <w:rsid w:val="001A4647"/>
    <w:rsid w:val="001B01FD"/>
    <w:rsid w:val="001B28DF"/>
    <w:rsid w:val="001B29FC"/>
    <w:rsid w:val="001B4622"/>
    <w:rsid w:val="001B6C91"/>
    <w:rsid w:val="001B78C9"/>
    <w:rsid w:val="001B7DFD"/>
    <w:rsid w:val="001C1BC8"/>
    <w:rsid w:val="001C235B"/>
    <w:rsid w:val="001C48A0"/>
    <w:rsid w:val="001C5487"/>
    <w:rsid w:val="001C62E9"/>
    <w:rsid w:val="001D3374"/>
    <w:rsid w:val="001D5B1B"/>
    <w:rsid w:val="001D5BBF"/>
    <w:rsid w:val="001E1F57"/>
    <w:rsid w:val="001E5BDD"/>
    <w:rsid w:val="001F1D4C"/>
    <w:rsid w:val="001F30A8"/>
    <w:rsid w:val="001F65C6"/>
    <w:rsid w:val="001F7240"/>
    <w:rsid w:val="002003B2"/>
    <w:rsid w:val="00201AD8"/>
    <w:rsid w:val="00203848"/>
    <w:rsid w:val="00205FD5"/>
    <w:rsid w:val="00206A97"/>
    <w:rsid w:val="00206DEC"/>
    <w:rsid w:val="00213A8D"/>
    <w:rsid w:val="002154DC"/>
    <w:rsid w:val="0022150B"/>
    <w:rsid w:val="00224447"/>
    <w:rsid w:val="00224B48"/>
    <w:rsid w:val="002259E4"/>
    <w:rsid w:val="002260BF"/>
    <w:rsid w:val="002269A8"/>
    <w:rsid w:val="00226F4E"/>
    <w:rsid w:val="002313D5"/>
    <w:rsid w:val="00235270"/>
    <w:rsid w:val="00236792"/>
    <w:rsid w:val="00236FBC"/>
    <w:rsid w:val="00237040"/>
    <w:rsid w:val="002375E2"/>
    <w:rsid w:val="0023766B"/>
    <w:rsid w:val="0024165D"/>
    <w:rsid w:val="00242ECD"/>
    <w:rsid w:val="00244C1C"/>
    <w:rsid w:val="0024770B"/>
    <w:rsid w:val="002478D7"/>
    <w:rsid w:val="0025009A"/>
    <w:rsid w:val="00251686"/>
    <w:rsid w:val="0025178A"/>
    <w:rsid w:val="0025387E"/>
    <w:rsid w:val="00261E67"/>
    <w:rsid w:val="00262F7E"/>
    <w:rsid w:val="00263312"/>
    <w:rsid w:val="002721E3"/>
    <w:rsid w:val="00272D56"/>
    <w:rsid w:val="00274D3E"/>
    <w:rsid w:val="0027528C"/>
    <w:rsid w:val="00280E27"/>
    <w:rsid w:val="00280E3D"/>
    <w:rsid w:val="00285B93"/>
    <w:rsid w:val="002860B6"/>
    <w:rsid w:val="00287460"/>
    <w:rsid w:val="002907A4"/>
    <w:rsid w:val="002932B8"/>
    <w:rsid w:val="0029384F"/>
    <w:rsid w:val="0029515E"/>
    <w:rsid w:val="002A303C"/>
    <w:rsid w:val="002A39BC"/>
    <w:rsid w:val="002A7580"/>
    <w:rsid w:val="002B36DA"/>
    <w:rsid w:val="002B6D4E"/>
    <w:rsid w:val="002B7317"/>
    <w:rsid w:val="002C120B"/>
    <w:rsid w:val="002C1679"/>
    <w:rsid w:val="002C6108"/>
    <w:rsid w:val="002D0218"/>
    <w:rsid w:val="002D0E14"/>
    <w:rsid w:val="002D4098"/>
    <w:rsid w:val="002D651D"/>
    <w:rsid w:val="002D66A2"/>
    <w:rsid w:val="002D6B78"/>
    <w:rsid w:val="002D6E69"/>
    <w:rsid w:val="002D775C"/>
    <w:rsid w:val="002D7B07"/>
    <w:rsid w:val="002E2E0B"/>
    <w:rsid w:val="002E3E25"/>
    <w:rsid w:val="002E7734"/>
    <w:rsid w:val="002E7929"/>
    <w:rsid w:val="002F1720"/>
    <w:rsid w:val="002F2ADB"/>
    <w:rsid w:val="002F2F73"/>
    <w:rsid w:val="002F3BDE"/>
    <w:rsid w:val="00301825"/>
    <w:rsid w:val="00302A54"/>
    <w:rsid w:val="00307B3B"/>
    <w:rsid w:val="00311C82"/>
    <w:rsid w:val="003132A1"/>
    <w:rsid w:val="00321466"/>
    <w:rsid w:val="0032485F"/>
    <w:rsid w:val="0032624A"/>
    <w:rsid w:val="003278A1"/>
    <w:rsid w:val="00331910"/>
    <w:rsid w:val="00332655"/>
    <w:rsid w:val="0033268B"/>
    <w:rsid w:val="00341977"/>
    <w:rsid w:val="00344A2E"/>
    <w:rsid w:val="0034520F"/>
    <w:rsid w:val="003452B4"/>
    <w:rsid w:val="00347F81"/>
    <w:rsid w:val="003502F1"/>
    <w:rsid w:val="003510C4"/>
    <w:rsid w:val="00353BAD"/>
    <w:rsid w:val="00353C9F"/>
    <w:rsid w:val="00353E9F"/>
    <w:rsid w:val="0035591D"/>
    <w:rsid w:val="0035605B"/>
    <w:rsid w:val="00360024"/>
    <w:rsid w:val="00361C6A"/>
    <w:rsid w:val="003630F6"/>
    <w:rsid w:val="003642BD"/>
    <w:rsid w:val="00364B42"/>
    <w:rsid w:val="00367265"/>
    <w:rsid w:val="003672CE"/>
    <w:rsid w:val="003718C3"/>
    <w:rsid w:val="003747A0"/>
    <w:rsid w:val="003807B5"/>
    <w:rsid w:val="00380F7E"/>
    <w:rsid w:val="003830F5"/>
    <w:rsid w:val="00383867"/>
    <w:rsid w:val="003838B2"/>
    <w:rsid w:val="00386649"/>
    <w:rsid w:val="0039309B"/>
    <w:rsid w:val="0039311F"/>
    <w:rsid w:val="00393C88"/>
    <w:rsid w:val="003958D6"/>
    <w:rsid w:val="0039748F"/>
    <w:rsid w:val="003A2A05"/>
    <w:rsid w:val="003A44D8"/>
    <w:rsid w:val="003B293D"/>
    <w:rsid w:val="003B31D3"/>
    <w:rsid w:val="003B40C4"/>
    <w:rsid w:val="003B508C"/>
    <w:rsid w:val="003B61EB"/>
    <w:rsid w:val="003B708C"/>
    <w:rsid w:val="003C0774"/>
    <w:rsid w:val="003C440F"/>
    <w:rsid w:val="003D45EC"/>
    <w:rsid w:val="003D5E82"/>
    <w:rsid w:val="003D714E"/>
    <w:rsid w:val="003E0C41"/>
    <w:rsid w:val="003E2570"/>
    <w:rsid w:val="003E41FD"/>
    <w:rsid w:val="003E4257"/>
    <w:rsid w:val="003E551D"/>
    <w:rsid w:val="003E5D03"/>
    <w:rsid w:val="003E63AE"/>
    <w:rsid w:val="003F20B6"/>
    <w:rsid w:val="003F3056"/>
    <w:rsid w:val="003F72D0"/>
    <w:rsid w:val="00400D92"/>
    <w:rsid w:val="0040508F"/>
    <w:rsid w:val="00405BBD"/>
    <w:rsid w:val="00407F8A"/>
    <w:rsid w:val="0041173C"/>
    <w:rsid w:val="00416718"/>
    <w:rsid w:val="004200CE"/>
    <w:rsid w:val="00425D2E"/>
    <w:rsid w:val="004266A1"/>
    <w:rsid w:val="00427847"/>
    <w:rsid w:val="00427CE1"/>
    <w:rsid w:val="0043063F"/>
    <w:rsid w:val="00431245"/>
    <w:rsid w:val="00432CE0"/>
    <w:rsid w:val="00435332"/>
    <w:rsid w:val="004365B4"/>
    <w:rsid w:val="00437AC9"/>
    <w:rsid w:val="00437EF0"/>
    <w:rsid w:val="004407F5"/>
    <w:rsid w:val="004431A6"/>
    <w:rsid w:val="004446F7"/>
    <w:rsid w:val="00446EEA"/>
    <w:rsid w:val="00447651"/>
    <w:rsid w:val="00450785"/>
    <w:rsid w:val="00452063"/>
    <w:rsid w:val="004543B6"/>
    <w:rsid w:val="00455C80"/>
    <w:rsid w:val="00456FE8"/>
    <w:rsid w:val="00460E57"/>
    <w:rsid w:val="00461A5B"/>
    <w:rsid w:val="00463F7E"/>
    <w:rsid w:val="004652D9"/>
    <w:rsid w:val="0047069E"/>
    <w:rsid w:val="004724EF"/>
    <w:rsid w:val="004735D2"/>
    <w:rsid w:val="0047643F"/>
    <w:rsid w:val="0047721C"/>
    <w:rsid w:val="00484249"/>
    <w:rsid w:val="004850C9"/>
    <w:rsid w:val="00486152"/>
    <w:rsid w:val="00490D2D"/>
    <w:rsid w:val="00491C4F"/>
    <w:rsid w:val="00495283"/>
    <w:rsid w:val="00496B24"/>
    <w:rsid w:val="004A1E83"/>
    <w:rsid w:val="004A2D81"/>
    <w:rsid w:val="004A4A15"/>
    <w:rsid w:val="004A67C5"/>
    <w:rsid w:val="004A769E"/>
    <w:rsid w:val="004B1673"/>
    <w:rsid w:val="004B1C57"/>
    <w:rsid w:val="004B2EE2"/>
    <w:rsid w:val="004B6B79"/>
    <w:rsid w:val="004B79FA"/>
    <w:rsid w:val="004C57FC"/>
    <w:rsid w:val="004C7A19"/>
    <w:rsid w:val="004D1074"/>
    <w:rsid w:val="004D45A0"/>
    <w:rsid w:val="004D7548"/>
    <w:rsid w:val="004E0ADF"/>
    <w:rsid w:val="004E46C7"/>
    <w:rsid w:val="004E63B7"/>
    <w:rsid w:val="004E64E1"/>
    <w:rsid w:val="004E672A"/>
    <w:rsid w:val="004F158B"/>
    <w:rsid w:val="004F1E3C"/>
    <w:rsid w:val="004F52C8"/>
    <w:rsid w:val="005020C6"/>
    <w:rsid w:val="00502CAD"/>
    <w:rsid w:val="005034E9"/>
    <w:rsid w:val="00504CB0"/>
    <w:rsid w:val="005064A8"/>
    <w:rsid w:val="00507672"/>
    <w:rsid w:val="00515019"/>
    <w:rsid w:val="00515C20"/>
    <w:rsid w:val="00516856"/>
    <w:rsid w:val="00527172"/>
    <w:rsid w:val="005308C9"/>
    <w:rsid w:val="0053206F"/>
    <w:rsid w:val="00533A59"/>
    <w:rsid w:val="005344B3"/>
    <w:rsid w:val="005368D8"/>
    <w:rsid w:val="00541E6F"/>
    <w:rsid w:val="005427B0"/>
    <w:rsid w:val="00543883"/>
    <w:rsid w:val="0054666E"/>
    <w:rsid w:val="00552F02"/>
    <w:rsid w:val="00553B6A"/>
    <w:rsid w:val="005560E9"/>
    <w:rsid w:val="00557D61"/>
    <w:rsid w:val="00562406"/>
    <w:rsid w:val="00564803"/>
    <w:rsid w:val="005651C6"/>
    <w:rsid w:val="005807CC"/>
    <w:rsid w:val="0058158D"/>
    <w:rsid w:val="0058288F"/>
    <w:rsid w:val="005837C5"/>
    <w:rsid w:val="00586783"/>
    <w:rsid w:val="00591525"/>
    <w:rsid w:val="00597881"/>
    <w:rsid w:val="005A0C77"/>
    <w:rsid w:val="005A0EE2"/>
    <w:rsid w:val="005A0F3C"/>
    <w:rsid w:val="005B1B11"/>
    <w:rsid w:val="005B3B42"/>
    <w:rsid w:val="005B6B5E"/>
    <w:rsid w:val="005B6E2A"/>
    <w:rsid w:val="005C3024"/>
    <w:rsid w:val="005C3A89"/>
    <w:rsid w:val="005C3AA5"/>
    <w:rsid w:val="005D1FBC"/>
    <w:rsid w:val="005D5693"/>
    <w:rsid w:val="005D6EB4"/>
    <w:rsid w:val="005D7479"/>
    <w:rsid w:val="005E192A"/>
    <w:rsid w:val="005E2AA7"/>
    <w:rsid w:val="005E68DB"/>
    <w:rsid w:val="005F556B"/>
    <w:rsid w:val="005F5F47"/>
    <w:rsid w:val="00604F06"/>
    <w:rsid w:val="0061097B"/>
    <w:rsid w:val="0061654A"/>
    <w:rsid w:val="006207F3"/>
    <w:rsid w:val="00623595"/>
    <w:rsid w:val="00634051"/>
    <w:rsid w:val="00634AFB"/>
    <w:rsid w:val="00636140"/>
    <w:rsid w:val="006375BE"/>
    <w:rsid w:val="00645A5D"/>
    <w:rsid w:val="0065447D"/>
    <w:rsid w:val="00661074"/>
    <w:rsid w:val="00667866"/>
    <w:rsid w:val="00672370"/>
    <w:rsid w:val="006801F6"/>
    <w:rsid w:val="006803B6"/>
    <w:rsid w:val="00682A2C"/>
    <w:rsid w:val="0068365A"/>
    <w:rsid w:val="006918DB"/>
    <w:rsid w:val="00696141"/>
    <w:rsid w:val="00697544"/>
    <w:rsid w:val="006A0D55"/>
    <w:rsid w:val="006A2861"/>
    <w:rsid w:val="006A3217"/>
    <w:rsid w:val="006A790B"/>
    <w:rsid w:val="006A7B2D"/>
    <w:rsid w:val="006B109A"/>
    <w:rsid w:val="006B331D"/>
    <w:rsid w:val="006B3A5D"/>
    <w:rsid w:val="006B7BB3"/>
    <w:rsid w:val="006C01EE"/>
    <w:rsid w:val="006C07B3"/>
    <w:rsid w:val="006C0E77"/>
    <w:rsid w:val="006C27E9"/>
    <w:rsid w:val="006C64EA"/>
    <w:rsid w:val="006C705D"/>
    <w:rsid w:val="006C72A8"/>
    <w:rsid w:val="006D175E"/>
    <w:rsid w:val="006D4694"/>
    <w:rsid w:val="006D5724"/>
    <w:rsid w:val="006D663B"/>
    <w:rsid w:val="006E0D1D"/>
    <w:rsid w:val="006E15F0"/>
    <w:rsid w:val="006E22A1"/>
    <w:rsid w:val="006E73CF"/>
    <w:rsid w:val="006F0B6E"/>
    <w:rsid w:val="006F3310"/>
    <w:rsid w:val="006F6BA8"/>
    <w:rsid w:val="0070003C"/>
    <w:rsid w:val="0070273F"/>
    <w:rsid w:val="007040D2"/>
    <w:rsid w:val="0070583C"/>
    <w:rsid w:val="00707D6F"/>
    <w:rsid w:val="00714A6C"/>
    <w:rsid w:val="00717A13"/>
    <w:rsid w:val="00717C6F"/>
    <w:rsid w:val="00721687"/>
    <w:rsid w:val="007222DC"/>
    <w:rsid w:val="00724ACE"/>
    <w:rsid w:val="00725D02"/>
    <w:rsid w:val="007316E3"/>
    <w:rsid w:val="0073458E"/>
    <w:rsid w:val="00734656"/>
    <w:rsid w:val="0073555F"/>
    <w:rsid w:val="0073596E"/>
    <w:rsid w:val="007408E0"/>
    <w:rsid w:val="007418B9"/>
    <w:rsid w:val="00742244"/>
    <w:rsid w:val="00744881"/>
    <w:rsid w:val="0074535D"/>
    <w:rsid w:val="00754698"/>
    <w:rsid w:val="00755641"/>
    <w:rsid w:val="00756882"/>
    <w:rsid w:val="00762B2E"/>
    <w:rsid w:val="00765ABD"/>
    <w:rsid w:val="00766784"/>
    <w:rsid w:val="007671BC"/>
    <w:rsid w:val="0076764E"/>
    <w:rsid w:val="00770A65"/>
    <w:rsid w:val="0077109D"/>
    <w:rsid w:val="0077116E"/>
    <w:rsid w:val="00774397"/>
    <w:rsid w:val="00774549"/>
    <w:rsid w:val="00781BDA"/>
    <w:rsid w:val="00782243"/>
    <w:rsid w:val="0078294A"/>
    <w:rsid w:val="00784D1D"/>
    <w:rsid w:val="00794176"/>
    <w:rsid w:val="00794DFD"/>
    <w:rsid w:val="0079648A"/>
    <w:rsid w:val="007972B9"/>
    <w:rsid w:val="007A0AFE"/>
    <w:rsid w:val="007A2F90"/>
    <w:rsid w:val="007A4662"/>
    <w:rsid w:val="007B0087"/>
    <w:rsid w:val="007B0FB5"/>
    <w:rsid w:val="007D3C19"/>
    <w:rsid w:val="007D44AA"/>
    <w:rsid w:val="007D4551"/>
    <w:rsid w:val="007D71BF"/>
    <w:rsid w:val="007E112D"/>
    <w:rsid w:val="007E331D"/>
    <w:rsid w:val="007E3E39"/>
    <w:rsid w:val="007E4E07"/>
    <w:rsid w:val="007E511D"/>
    <w:rsid w:val="007E7E8B"/>
    <w:rsid w:val="007E7ED6"/>
    <w:rsid w:val="007F38FA"/>
    <w:rsid w:val="007F57C3"/>
    <w:rsid w:val="00800DC5"/>
    <w:rsid w:val="00810189"/>
    <w:rsid w:val="00810D6B"/>
    <w:rsid w:val="00813CEE"/>
    <w:rsid w:val="00813E12"/>
    <w:rsid w:val="008148EA"/>
    <w:rsid w:val="00814BEE"/>
    <w:rsid w:val="00814D5F"/>
    <w:rsid w:val="0081705D"/>
    <w:rsid w:val="008171AE"/>
    <w:rsid w:val="00821303"/>
    <w:rsid w:val="008242B9"/>
    <w:rsid w:val="008263E2"/>
    <w:rsid w:val="00827C6E"/>
    <w:rsid w:val="00832A60"/>
    <w:rsid w:val="0084036C"/>
    <w:rsid w:val="00841AC4"/>
    <w:rsid w:val="00842C56"/>
    <w:rsid w:val="00844C20"/>
    <w:rsid w:val="0084735D"/>
    <w:rsid w:val="00847EBD"/>
    <w:rsid w:val="0085054B"/>
    <w:rsid w:val="00850B08"/>
    <w:rsid w:val="00851A40"/>
    <w:rsid w:val="00852E8D"/>
    <w:rsid w:val="008546C3"/>
    <w:rsid w:val="00857D61"/>
    <w:rsid w:val="008614FE"/>
    <w:rsid w:val="00864A25"/>
    <w:rsid w:val="0086568E"/>
    <w:rsid w:val="00867D64"/>
    <w:rsid w:val="00874865"/>
    <w:rsid w:val="00874E39"/>
    <w:rsid w:val="00877819"/>
    <w:rsid w:val="00882502"/>
    <w:rsid w:val="00882570"/>
    <w:rsid w:val="00884513"/>
    <w:rsid w:val="0088547C"/>
    <w:rsid w:val="0088782B"/>
    <w:rsid w:val="008903B6"/>
    <w:rsid w:val="008913D0"/>
    <w:rsid w:val="008A0045"/>
    <w:rsid w:val="008A1C2E"/>
    <w:rsid w:val="008A622F"/>
    <w:rsid w:val="008A6E94"/>
    <w:rsid w:val="008A7EDF"/>
    <w:rsid w:val="008B0065"/>
    <w:rsid w:val="008B126D"/>
    <w:rsid w:val="008B48B5"/>
    <w:rsid w:val="008B48E4"/>
    <w:rsid w:val="008B6F3B"/>
    <w:rsid w:val="008B7530"/>
    <w:rsid w:val="008C16C3"/>
    <w:rsid w:val="008C20CA"/>
    <w:rsid w:val="008C2441"/>
    <w:rsid w:val="008C30D7"/>
    <w:rsid w:val="008D1C42"/>
    <w:rsid w:val="008D2308"/>
    <w:rsid w:val="008D493C"/>
    <w:rsid w:val="008E212B"/>
    <w:rsid w:val="008F58DB"/>
    <w:rsid w:val="00907019"/>
    <w:rsid w:val="00910370"/>
    <w:rsid w:val="00915A82"/>
    <w:rsid w:val="00915FAF"/>
    <w:rsid w:val="00916A90"/>
    <w:rsid w:val="00922BA0"/>
    <w:rsid w:val="00923082"/>
    <w:rsid w:val="009235DD"/>
    <w:rsid w:val="00924A26"/>
    <w:rsid w:val="009263D5"/>
    <w:rsid w:val="00932017"/>
    <w:rsid w:val="009327F9"/>
    <w:rsid w:val="00934FF8"/>
    <w:rsid w:val="0093524F"/>
    <w:rsid w:val="009356A1"/>
    <w:rsid w:val="00936752"/>
    <w:rsid w:val="00937290"/>
    <w:rsid w:val="00942D63"/>
    <w:rsid w:val="00944326"/>
    <w:rsid w:val="00946FBD"/>
    <w:rsid w:val="00950CBA"/>
    <w:rsid w:val="00951002"/>
    <w:rsid w:val="0095349E"/>
    <w:rsid w:val="0095439B"/>
    <w:rsid w:val="009551D7"/>
    <w:rsid w:val="00955236"/>
    <w:rsid w:val="009552BC"/>
    <w:rsid w:val="00955A1D"/>
    <w:rsid w:val="00960FE8"/>
    <w:rsid w:val="009616B8"/>
    <w:rsid w:val="00962519"/>
    <w:rsid w:val="009660DD"/>
    <w:rsid w:val="00970026"/>
    <w:rsid w:val="0097411B"/>
    <w:rsid w:val="00976D79"/>
    <w:rsid w:val="00977073"/>
    <w:rsid w:val="00977859"/>
    <w:rsid w:val="00977C0C"/>
    <w:rsid w:val="009805EF"/>
    <w:rsid w:val="00983AAE"/>
    <w:rsid w:val="00987054"/>
    <w:rsid w:val="00990AF2"/>
    <w:rsid w:val="00991048"/>
    <w:rsid w:val="0099141D"/>
    <w:rsid w:val="0099237C"/>
    <w:rsid w:val="0099592D"/>
    <w:rsid w:val="00996093"/>
    <w:rsid w:val="009979F5"/>
    <w:rsid w:val="009A42B3"/>
    <w:rsid w:val="009A4B40"/>
    <w:rsid w:val="009A7D68"/>
    <w:rsid w:val="009B17B0"/>
    <w:rsid w:val="009B6238"/>
    <w:rsid w:val="009B7024"/>
    <w:rsid w:val="009C7E0E"/>
    <w:rsid w:val="009D12B5"/>
    <w:rsid w:val="009D479F"/>
    <w:rsid w:val="009D745E"/>
    <w:rsid w:val="009E2384"/>
    <w:rsid w:val="009E5011"/>
    <w:rsid w:val="009E62BE"/>
    <w:rsid w:val="009E66DE"/>
    <w:rsid w:val="009E71FF"/>
    <w:rsid w:val="009E78C8"/>
    <w:rsid w:val="009F2F43"/>
    <w:rsid w:val="009F6506"/>
    <w:rsid w:val="009F7214"/>
    <w:rsid w:val="009F77CB"/>
    <w:rsid w:val="00A02332"/>
    <w:rsid w:val="00A04F8B"/>
    <w:rsid w:val="00A05D3D"/>
    <w:rsid w:val="00A06632"/>
    <w:rsid w:val="00A156D0"/>
    <w:rsid w:val="00A16336"/>
    <w:rsid w:val="00A17818"/>
    <w:rsid w:val="00A208B5"/>
    <w:rsid w:val="00A218DA"/>
    <w:rsid w:val="00A21916"/>
    <w:rsid w:val="00A254F5"/>
    <w:rsid w:val="00A377F4"/>
    <w:rsid w:val="00A4076C"/>
    <w:rsid w:val="00A414F0"/>
    <w:rsid w:val="00A42A7E"/>
    <w:rsid w:val="00A56985"/>
    <w:rsid w:val="00A56E9C"/>
    <w:rsid w:val="00A572BF"/>
    <w:rsid w:val="00A57982"/>
    <w:rsid w:val="00A60ECA"/>
    <w:rsid w:val="00A6297B"/>
    <w:rsid w:val="00A72A5F"/>
    <w:rsid w:val="00A75E72"/>
    <w:rsid w:val="00A83080"/>
    <w:rsid w:val="00A83B75"/>
    <w:rsid w:val="00A96E98"/>
    <w:rsid w:val="00A977D8"/>
    <w:rsid w:val="00AA0A92"/>
    <w:rsid w:val="00AA263A"/>
    <w:rsid w:val="00AA2DE8"/>
    <w:rsid w:val="00AA342E"/>
    <w:rsid w:val="00AA5A0A"/>
    <w:rsid w:val="00AA6C8A"/>
    <w:rsid w:val="00AB4CC4"/>
    <w:rsid w:val="00AB6E86"/>
    <w:rsid w:val="00AC1DFA"/>
    <w:rsid w:val="00AC2145"/>
    <w:rsid w:val="00AC3C89"/>
    <w:rsid w:val="00AC4C32"/>
    <w:rsid w:val="00AC5416"/>
    <w:rsid w:val="00AC67C9"/>
    <w:rsid w:val="00AC687A"/>
    <w:rsid w:val="00AC7109"/>
    <w:rsid w:val="00AD1F59"/>
    <w:rsid w:val="00AD6989"/>
    <w:rsid w:val="00AD7570"/>
    <w:rsid w:val="00AE039E"/>
    <w:rsid w:val="00AF2213"/>
    <w:rsid w:val="00AF67B9"/>
    <w:rsid w:val="00AF7552"/>
    <w:rsid w:val="00B0309D"/>
    <w:rsid w:val="00B0452E"/>
    <w:rsid w:val="00B04793"/>
    <w:rsid w:val="00B04FED"/>
    <w:rsid w:val="00B05ACA"/>
    <w:rsid w:val="00B11FBC"/>
    <w:rsid w:val="00B12056"/>
    <w:rsid w:val="00B15B5E"/>
    <w:rsid w:val="00B17598"/>
    <w:rsid w:val="00B17938"/>
    <w:rsid w:val="00B215F1"/>
    <w:rsid w:val="00B22921"/>
    <w:rsid w:val="00B258BA"/>
    <w:rsid w:val="00B27C5F"/>
    <w:rsid w:val="00B304F1"/>
    <w:rsid w:val="00B30F1A"/>
    <w:rsid w:val="00B313CA"/>
    <w:rsid w:val="00B340FC"/>
    <w:rsid w:val="00B362CA"/>
    <w:rsid w:val="00B41E27"/>
    <w:rsid w:val="00B421B2"/>
    <w:rsid w:val="00B44B6F"/>
    <w:rsid w:val="00B475E5"/>
    <w:rsid w:val="00B47BB4"/>
    <w:rsid w:val="00B5051A"/>
    <w:rsid w:val="00B51977"/>
    <w:rsid w:val="00B5231B"/>
    <w:rsid w:val="00B52F69"/>
    <w:rsid w:val="00B55264"/>
    <w:rsid w:val="00B6005D"/>
    <w:rsid w:val="00B60669"/>
    <w:rsid w:val="00B671C9"/>
    <w:rsid w:val="00B70E04"/>
    <w:rsid w:val="00B73AA4"/>
    <w:rsid w:val="00B81DF1"/>
    <w:rsid w:val="00B90012"/>
    <w:rsid w:val="00B90803"/>
    <w:rsid w:val="00B9147C"/>
    <w:rsid w:val="00B91FFC"/>
    <w:rsid w:val="00BA0639"/>
    <w:rsid w:val="00BA26F8"/>
    <w:rsid w:val="00BA4163"/>
    <w:rsid w:val="00BB2EA8"/>
    <w:rsid w:val="00BB701A"/>
    <w:rsid w:val="00BC00FD"/>
    <w:rsid w:val="00BC104E"/>
    <w:rsid w:val="00BC1481"/>
    <w:rsid w:val="00BC2093"/>
    <w:rsid w:val="00BC235E"/>
    <w:rsid w:val="00BC5C50"/>
    <w:rsid w:val="00BC6480"/>
    <w:rsid w:val="00BD0426"/>
    <w:rsid w:val="00BD3AC5"/>
    <w:rsid w:val="00BD3BAE"/>
    <w:rsid w:val="00BD521D"/>
    <w:rsid w:val="00BD7C27"/>
    <w:rsid w:val="00BE051A"/>
    <w:rsid w:val="00BE0F9A"/>
    <w:rsid w:val="00BE214A"/>
    <w:rsid w:val="00BE21DC"/>
    <w:rsid w:val="00BE24CF"/>
    <w:rsid w:val="00BE3818"/>
    <w:rsid w:val="00BE7DEB"/>
    <w:rsid w:val="00BF04C5"/>
    <w:rsid w:val="00BF4721"/>
    <w:rsid w:val="00BF4A96"/>
    <w:rsid w:val="00BF7E88"/>
    <w:rsid w:val="00C00802"/>
    <w:rsid w:val="00C01882"/>
    <w:rsid w:val="00C01ABB"/>
    <w:rsid w:val="00C023C4"/>
    <w:rsid w:val="00C06631"/>
    <w:rsid w:val="00C10E16"/>
    <w:rsid w:val="00C12BD4"/>
    <w:rsid w:val="00C14D9F"/>
    <w:rsid w:val="00C16BA3"/>
    <w:rsid w:val="00C17C3B"/>
    <w:rsid w:val="00C2399A"/>
    <w:rsid w:val="00C25783"/>
    <w:rsid w:val="00C25AF8"/>
    <w:rsid w:val="00C267FB"/>
    <w:rsid w:val="00C27A8D"/>
    <w:rsid w:val="00C302A5"/>
    <w:rsid w:val="00C342C2"/>
    <w:rsid w:val="00C40C98"/>
    <w:rsid w:val="00C41D89"/>
    <w:rsid w:val="00C4565E"/>
    <w:rsid w:val="00C45B6A"/>
    <w:rsid w:val="00C45EA4"/>
    <w:rsid w:val="00C46E20"/>
    <w:rsid w:val="00C502C2"/>
    <w:rsid w:val="00C50377"/>
    <w:rsid w:val="00C53A06"/>
    <w:rsid w:val="00C5478E"/>
    <w:rsid w:val="00C55036"/>
    <w:rsid w:val="00C552BF"/>
    <w:rsid w:val="00C55A64"/>
    <w:rsid w:val="00C56137"/>
    <w:rsid w:val="00C601E8"/>
    <w:rsid w:val="00C60820"/>
    <w:rsid w:val="00C66848"/>
    <w:rsid w:val="00C67EFD"/>
    <w:rsid w:val="00C73995"/>
    <w:rsid w:val="00C755CF"/>
    <w:rsid w:val="00C758F3"/>
    <w:rsid w:val="00C833F1"/>
    <w:rsid w:val="00C83DDB"/>
    <w:rsid w:val="00C84C8F"/>
    <w:rsid w:val="00C850EB"/>
    <w:rsid w:val="00C90C57"/>
    <w:rsid w:val="00C93ACA"/>
    <w:rsid w:val="00C93B60"/>
    <w:rsid w:val="00C946D1"/>
    <w:rsid w:val="00C94C6F"/>
    <w:rsid w:val="00C9576F"/>
    <w:rsid w:val="00CA3E9F"/>
    <w:rsid w:val="00CA56E0"/>
    <w:rsid w:val="00CB0286"/>
    <w:rsid w:val="00CB3BFB"/>
    <w:rsid w:val="00CC0AFB"/>
    <w:rsid w:val="00CC47F0"/>
    <w:rsid w:val="00CC7EB1"/>
    <w:rsid w:val="00CD205D"/>
    <w:rsid w:val="00CD4476"/>
    <w:rsid w:val="00CD68E1"/>
    <w:rsid w:val="00CD77EB"/>
    <w:rsid w:val="00CD7EA6"/>
    <w:rsid w:val="00CE222C"/>
    <w:rsid w:val="00CE3B0F"/>
    <w:rsid w:val="00CE75AC"/>
    <w:rsid w:val="00CF0190"/>
    <w:rsid w:val="00CF188B"/>
    <w:rsid w:val="00CF1B5F"/>
    <w:rsid w:val="00CF5642"/>
    <w:rsid w:val="00CF68D2"/>
    <w:rsid w:val="00CF7618"/>
    <w:rsid w:val="00CF7E8F"/>
    <w:rsid w:val="00D023E4"/>
    <w:rsid w:val="00D027B5"/>
    <w:rsid w:val="00D03245"/>
    <w:rsid w:val="00D04B45"/>
    <w:rsid w:val="00D0605D"/>
    <w:rsid w:val="00D10E26"/>
    <w:rsid w:val="00D138F0"/>
    <w:rsid w:val="00D14490"/>
    <w:rsid w:val="00D153AE"/>
    <w:rsid w:val="00D159EA"/>
    <w:rsid w:val="00D17567"/>
    <w:rsid w:val="00D176C5"/>
    <w:rsid w:val="00D20D2A"/>
    <w:rsid w:val="00D26479"/>
    <w:rsid w:val="00D2648A"/>
    <w:rsid w:val="00D275CF"/>
    <w:rsid w:val="00D322AD"/>
    <w:rsid w:val="00D3231E"/>
    <w:rsid w:val="00D33CDD"/>
    <w:rsid w:val="00D362FE"/>
    <w:rsid w:val="00D40659"/>
    <w:rsid w:val="00D4081F"/>
    <w:rsid w:val="00D43661"/>
    <w:rsid w:val="00D43FB4"/>
    <w:rsid w:val="00D44C3A"/>
    <w:rsid w:val="00D45710"/>
    <w:rsid w:val="00D50D79"/>
    <w:rsid w:val="00D5342A"/>
    <w:rsid w:val="00D5435C"/>
    <w:rsid w:val="00D54567"/>
    <w:rsid w:val="00D54571"/>
    <w:rsid w:val="00D55041"/>
    <w:rsid w:val="00D56664"/>
    <w:rsid w:val="00D5669A"/>
    <w:rsid w:val="00D57438"/>
    <w:rsid w:val="00D6300C"/>
    <w:rsid w:val="00D636A2"/>
    <w:rsid w:val="00D63EBF"/>
    <w:rsid w:val="00D6420F"/>
    <w:rsid w:val="00D654FC"/>
    <w:rsid w:val="00D71C18"/>
    <w:rsid w:val="00D72126"/>
    <w:rsid w:val="00D73018"/>
    <w:rsid w:val="00D73B71"/>
    <w:rsid w:val="00D74642"/>
    <w:rsid w:val="00D7581E"/>
    <w:rsid w:val="00D75D15"/>
    <w:rsid w:val="00D76512"/>
    <w:rsid w:val="00D766D2"/>
    <w:rsid w:val="00D76DC2"/>
    <w:rsid w:val="00D833C8"/>
    <w:rsid w:val="00D843C9"/>
    <w:rsid w:val="00D84C1F"/>
    <w:rsid w:val="00D85D47"/>
    <w:rsid w:val="00D86A8C"/>
    <w:rsid w:val="00D873C7"/>
    <w:rsid w:val="00D87738"/>
    <w:rsid w:val="00D91FCC"/>
    <w:rsid w:val="00D954BF"/>
    <w:rsid w:val="00D96B06"/>
    <w:rsid w:val="00DA1382"/>
    <w:rsid w:val="00DA2599"/>
    <w:rsid w:val="00DA54F1"/>
    <w:rsid w:val="00DB1F7E"/>
    <w:rsid w:val="00DB58E7"/>
    <w:rsid w:val="00DB7026"/>
    <w:rsid w:val="00DC24C6"/>
    <w:rsid w:val="00DC2AF4"/>
    <w:rsid w:val="00DC33F2"/>
    <w:rsid w:val="00DC6C8E"/>
    <w:rsid w:val="00DC6D48"/>
    <w:rsid w:val="00DD47DE"/>
    <w:rsid w:val="00DF1EA9"/>
    <w:rsid w:val="00DF5874"/>
    <w:rsid w:val="00DF6711"/>
    <w:rsid w:val="00DF77D4"/>
    <w:rsid w:val="00E0422D"/>
    <w:rsid w:val="00E05393"/>
    <w:rsid w:val="00E115E7"/>
    <w:rsid w:val="00E13DFA"/>
    <w:rsid w:val="00E15660"/>
    <w:rsid w:val="00E21CB5"/>
    <w:rsid w:val="00E2472E"/>
    <w:rsid w:val="00E3079C"/>
    <w:rsid w:val="00E372EF"/>
    <w:rsid w:val="00E4213F"/>
    <w:rsid w:val="00E45F46"/>
    <w:rsid w:val="00E46E75"/>
    <w:rsid w:val="00E478E5"/>
    <w:rsid w:val="00E5312A"/>
    <w:rsid w:val="00E53631"/>
    <w:rsid w:val="00E53812"/>
    <w:rsid w:val="00E566D4"/>
    <w:rsid w:val="00E607DD"/>
    <w:rsid w:val="00E6592E"/>
    <w:rsid w:val="00E65CD7"/>
    <w:rsid w:val="00E700E6"/>
    <w:rsid w:val="00E70322"/>
    <w:rsid w:val="00E720FE"/>
    <w:rsid w:val="00E73C14"/>
    <w:rsid w:val="00E756C1"/>
    <w:rsid w:val="00E76816"/>
    <w:rsid w:val="00E76A00"/>
    <w:rsid w:val="00E81806"/>
    <w:rsid w:val="00E83636"/>
    <w:rsid w:val="00E873D4"/>
    <w:rsid w:val="00E874B3"/>
    <w:rsid w:val="00E93BAD"/>
    <w:rsid w:val="00E96B0C"/>
    <w:rsid w:val="00EA1459"/>
    <w:rsid w:val="00EA46D0"/>
    <w:rsid w:val="00EA4B70"/>
    <w:rsid w:val="00EA607D"/>
    <w:rsid w:val="00EA7287"/>
    <w:rsid w:val="00EB00F4"/>
    <w:rsid w:val="00EB0A08"/>
    <w:rsid w:val="00EB147F"/>
    <w:rsid w:val="00EC12EE"/>
    <w:rsid w:val="00EC2EF4"/>
    <w:rsid w:val="00EC40AB"/>
    <w:rsid w:val="00EC447A"/>
    <w:rsid w:val="00ED1D53"/>
    <w:rsid w:val="00ED1F1A"/>
    <w:rsid w:val="00EE4249"/>
    <w:rsid w:val="00EE69F8"/>
    <w:rsid w:val="00EF1E5D"/>
    <w:rsid w:val="00EF265E"/>
    <w:rsid w:val="00EF4554"/>
    <w:rsid w:val="00EF6C6C"/>
    <w:rsid w:val="00F025A0"/>
    <w:rsid w:val="00F05718"/>
    <w:rsid w:val="00F10215"/>
    <w:rsid w:val="00F11EC9"/>
    <w:rsid w:val="00F13596"/>
    <w:rsid w:val="00F13F7F"/>
    <w:rsid w:val="00F159C6"/>
    <w:rsid w:val="00F16041"/>
    <w:rsid w:val="00F171DF"/>
    <w:rsid w:val="00F213BA"/>
    <w:rsid w:val="00F23A2F"/>
    <w:rsid w:val="00F24A2D"/>
    <w:rsid w:val="00F25A1F"/>
    <w:rsid w:val="00F31B99"/>
    <w:rsid w:val="00F379E7"/>
    <w:rsid w:val="00F37D26"/>
    <w:rsid w:val="00F4380D"/>
    <w:rsid w:val="00F444BB"/>
    <w:rsid w:val="00F44D23"/>
    <w:rsid w:val="00F4517D"/>
    <w:rsid w:val="00F45417"/>
    <w:rsid w:val="00F46D54"/>
    <w:rsid w:val="00F50250"/>
    <w:rsid w:val="00F508F5"/>
    <w:rsid w:val="00F55DA4"/>
    <w:rsid w:val="00F5796B"/>
    <w:rsid w:val="00F60916"/>
    <w:rsid w:val="00F61069"/>
    <w:rsid w:val="00F64390"/>
    <w:rsid w:val="00F72541"/>
    <w:rsid w:val="00F74B17"/>
    <w:rsid w:val="00F8078B"/>
    <w:rsid w:val="00F81653"/>
    <w:rsid w:val="00F82609"/>
    <w:rsid w:val="00F9032D"/>
    <w:rsid w:val="00F907A1"/>
    <w:rsid w:val="00F97A64"/>
    <w:rsid w:val="00FA0170"/>
    <w:rsid w:val="00FA3BC9"/>
    <w:rsid w:val="00FA5804"/>
    <w:rsid w:val="00FA65C2"/>
    <w:rsid w:val="00FB0A9C"/>
    <w:rsid w:val="00FB3068"/>
    <w:rsid w:val="00FB45DC"/>
    <w:rsid w:val="00FB7ED8"/>
    <w:rsid w:val="00FC372D"/>
    <w:rsid w:val="00FC40CC"/>
    <w:rsid w:val="00FC5F2E"/>
    <w:rsid w:val="00FC6933"/>
    <w:rsid w:val="00FC6B7A"/>
    <w:rsid w:val="00FD1058"/>
    <w:rsid w:val="00FD22BE"/>
    <w:rsid w:val="00FD263F"/>
    <w:rsid w:val="00FD2A6D"/>
    <w:rsid w:val="00FD5107"/>
    <w:rsid w:val="00FD5D5B"/>
    <w:rsid w:val="00FD63C1"/>
    <w:rsid w:val="00FE5D21"/>
    <w:rsid w:val="00FE61B6"/>
    <w:rsid w:val="00FE6EF5"/>
    <w:rsid w:val="00FF1BE7"/>
    <w:rsid w:val="00FF1D75"/>
    <w:rsid w:val="00FF4DED"/>
    <w:rsid w:val="00FF5A16"/>
    <w:rsid w:val="00FF7E97"/>
    <w:rsid w:val="07409DBC"/>
    <w:rsid w:val="155B1704"/>
    <w:rsid w:val="36009D84"/>
    <w:rsid w:val="397C0645"/>
    <w:rsid w:val="3E74F899"/>
    <w:rsid w:val="454151B7"/>
    <w:rsid w:val="4F21EEFA"/>
    <w:rsid w:val="5148391E"/>
    <w:rsid w:val="590C993F"/>
    <w:rsid w:val="687AAF9B"/>
    <w:rsid w:val="69715C53"/>
    <w:rsid w:val="6CA8FD15"/>
    <w:rsid w:val="7ED3A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4F39"/>
  <w15:chartTrackingRefBased/>
  <w15:docId w15:val="{62F3EBD1-DBC2-43F2-83DE-804B468D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pacing w:line="480" w:lineRule="auto"/>
      <w:jc w:val="both"/>
    </w:pPr>
    <w:rPr>
      <w:rFonts w:ascii="Times New Roman" w:hAnsi="Times New Roman"/>
      <w:sz w:val="26"/>
    </w:rPr>
  </w:style>
  <w:style w:type="paragraph" w:styleId="BalloonText">
    <w:name w:val="Balloon Text"/>
    <w:basedOn w:val="Normal"/>
    <w:semiHidden/>
    <w:rsid w:val="003F72D0"/>
    <w:rPr>
      <w:rFonts w:ascii="Tahoma" w:hAnsi="Tahoma" w:cs="Tahoma"/>
      <w:sz w:val="16"/>
      <w:szCs w:val="16"/>
    </w:rPr>
  </w:style>
  <w:style w:type="character" w:styleId="Hyperlink">
    <w:name w:val="Hyperlink"/>
    <w:rsid w:val="00B44B6F"/>
    <w:rPr>
      <w:color w:val="0000FF"/>
      <w:u w:val="single"/>
    </w:rPr>
  </w:style>
  <w:style w:type="paragraph" w:styleId="Header">
    <w:name w:val="header"/>
    <w:basedOn w:val="Normal"/>
    <w:link w:val="HeaderChar"/>
    <w:rsid w:val="00C67EFD"/>
    <w:pPr>
      <w:tabs>
        <w:tab w:val="center" w:pos="4680"/>
        <w:tab w:val="right" w:pos="9360"/>
      </w:tabs>
    </w:pPr>
  </w:style>
  <w:style w:type="character" w:customStyle="1" w:styleId="HeaderChar">
    <w:name w:val="Header Char"/>
    <w:link w:val="Header"/>
    <w:rsid w:val="00C67EFD"/>
    <w:rPr>
      <w:rFonts w:ascii="Courier" w:hAnsi="Courier"/>
      <w:snapToGrid w:val="0"/>
      <w:sz w:val="24"/>
    </w:rPr>
  </w:style>
  <w:style w:type="paragraph" w:styleId="EndnoteText">
    <w:name w:val="endnote text"/>
    <w:basedOn w:val="Normal"/>
    <w:link w:val="EndnoteTextChar"/>
    <w:rsid w:val="0086568E"/>
    <w:rPr>
      <w:sz w:val="20"/>
    </w:rPr>
  </w:style>
  <w:style w:type="character" w:customStyle="1" w:styleId="EndnoteTextChar">
    <w:name w:val="Endnote Text Char"/>
    <w:link w:val="EndnoteText"/>
    <w:rsid w:val="0086568E"/>
    <w:rPr>
      <w:rFonts w:ascii="Courier" w:hAnsi="Courier"/>
      <w:snapToGrid w:val="0"/>
    </w:rPr>
  </w:style>
  <w:style w:type="character" w:styleId="EndnoteReference">
    <w:name w:val="endnote reference"/>
    <w:rsid w:val="0086568E"/>
    <w:rPr>
      <w:vertAlign w:val="superscript"/>
    </w:rPr>
  </w:style>
  <w:style w:type="paragraph" w:styleId="FootnoteText">
    <w:name w:val="footnote text"/>
    <w:basedOn w:val="Normal"/>
    <w:link w:val="FootnoteTextChar"/>
    <w:rsid w:val="00D14490"/>
    <w:rPr>
      <w:sz w:val="20"/>
    </w:rPr>
  </w:style>
  <w:style w:type="character" w:customStyle="1" w:styleId="FootnoteTextChar">
    <w:name w:val="Footnote Text Char"/>
    <w:link w:val="FootnoteText"/>
    <w:rsid w:val="00D14490"/>
    <w:rPr>
      <w:rFonts w:ascii="Courier" w:hAnsi="Courier"/>
      <w:snapToGrid w:val="0"/>
    </w:rPr>
  </w:style>
  <w:style w:type="character" w:styleId="UnresolvedMention">
    <w:name w:val="Unresolved Mention"/>
    <w:uiPriority w:val="99"/>
    <w:semiHidden/>
    <w:unhideWhenUsed/>
    <w:rsid w:val="003E2570"/>
    <w:rPr>
      <w:color w:val="605E5C"/>
      <w:shd w:val="clear" w:color="auto" w:fill="E1DFDD"/>
    </w:rPr>
  </w:style>
  <w:style w:type="character" w:customStyle="1" w:styleId="cohl">
    <w:name w:val="co_hl"/>
    <w:basedOn w:val="DefaultParagraphFont"/>
    <w:rsid w:val="00AA0A92"/>
  </w:style>
  <w:style w:type="paragraph" w:styleId="Revision">
    <w:name w:val="Revision"/>
    <w:hidden/>
    <w:uiPriority w:val="99"/>
    <w:semiHidden/>
    <w:rsid w:val="003B508C"/>
    <w:rPr>
      <w:rFonts w:ascii="Courier" w:hAnsi="Courier"/>
      <w:snapToGrid w:val="0"/>
      <w:sz w:val="24"/>
    </w:rPr>
  </w:style>
  <w:style w:type="character" w:styleId="FollowedHyperlink">
    <w:name w:val="FollowedHyperlink"/>
    <w:basedOn w:val="DefaultParagraphFont"/>
    <w:rsid w:val="000544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1251">
      <w:bodyDiv w:val="1"/>
      <w:marLeft w:val="0"/>
      <w:marRight w:val="0"/>
      <w:marTop w:val="0"/>
      <w:marBottom w:val="0"/>
      <w:divBdr>
        <w:top w:val="none" w:sz="0" w:space="0" w:color="auto"/>
        <w:left w:val="none" w:sz="0" w:space="0" w:color="auto"/>
        <w:bottom w:val="none" w:sz="0" w:space="0" w:color="auto"/>
        <w:right w:val="none" w:sz="0" w:space="0" w:color="auto"/>
      </w:divBdr>
    </w:div>
    <w:div w:id="494880689">
      <w:bodyDiv w:val="1"/>
      <w:marLeft w:val="0"/>
      <w:marRight w:val="0"/>
      <w:marTop w:val="0"/>
      <w:marBottom w:val="0"/>
      <w:divBdr>
        <w:top w:val="none" w:sz="0" w:space="0" w:color="auto"/>
        <w:left w:val="none" w:sz="0" w:space="0" w:color="auto"/>
        <w:bottom w:val="none" w:sz="0" w:space="0" w:color="auto"/>
        <w:right w:val="none" w:sz="0" w:space="0" w:color="auto"/>
      </w:divBdr>
    </w:div>
    <w:div w:id="1557474922">
      <w:bodyDiv w:val="1"/>
      <w:marLeft w:val="0"/>
      <w:marRight w:val="0"/>
      <w:marTop w:val="0"/>
      <w:marBottom w:val="0"/>
      <w:divBdr>
        <w:top w:val="none" w:sz="0" w:space="0" w:color="auto"/>
        <w:left w:val="none" w:sz="0" w:space="0" w:color="auto"/>
        <w:bottom w:val="none" w:sz="0" w:space="0" w:color="auto"/>
        <w:right w:val="none" w:sz="0" w:space="0" w:color="auto"/>
      </w:divBdr>
    </w:div>
    <w:div w:id="210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uperiorcourt.maricopa.gov/criminal/department-information/" TargetMode="External"/><Relationship Id="rId2" Type="http://schemas.openxmlformats.org/officeDocument/2006/relationships/hyperlink" Target="http://www.superiorcourt.maricopa.gov/SuperiorCourt/AdministrativeOrders/AdminOrders/Admin%20Order%202000-070.pdf" TargetMode="External"/><Relationship Id="rId1" Type="http://schemas.openxmlformats.org/officeDocument/2006/relationships/hyperlink" Target="https://superiorcourt.maricopa.gov/criminal/specialized-courts/" TargetMode="External"/><Relationship Id="rId4" Type="http://schemas.openxmlformats.org/officeDocument/2006/relationships/hyperlink" Target="https://www.maricopacountyattorney.org/DocumentCenter/View/1676/MCAO-Prosecution-Policies-and-Procedures-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C2905C0564C4D9618D73C992F59B0" ma:contentTypeVersion="12" ma:contentTypeDescription="Create a new document." ma:contentTypeScope="" ma:versionID="4635b398c8c4f2bc26c83f3adfa67219">
  <xsd:schema xmlns:xsd="http://www.w3.org/2001/XMLSchema" xmlns:xs="http://www.w3.org/2001/XMLSchema" xmlns:p="http://schemas.microsoft.com/office/2006/metadata/properties" xmlns:ns3="e1cb2a30-599d-4c89-8185-4bcb6e7f930b" xmlns:ns4="29d4ed7c-832b-4cb2-9769-8f13aeee36f6" targetNamespace="http://schemas.microsoft.com/office/2006/metadata/properties" ma:root="true" ma:fieldsID="847d59ed47b2eaf205e6b1d680c9b7a4" ns3:_="" ns4:_="">
    <xsd:import namespace="e1cb2a30-599d-4c89-8185-4bcb6e7f930b"/>
    <xsd:import namespace="29d4ed7c-832b-4cb2-9769-8f13aeee36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b2a30-599d-4c89-8185-4bcb6e7f9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4ed7c-832b-4cb2-9769-8f13aeee36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3B8A-BE4C-4CCF-9C74-AB580B407DA8}">
  <ds:schemaRefs>
    <ds:schemaRef ds:uri="http://schemas.microsoft.com/sharepoint/v3/contenttype/forms"/>
  </ds:schemaRefs>
</ds:datastoreItem>
</file>

<file path=customXml/itemProps2.xml><?xml version="1.0" encoding="utf-8"?>
<ds:datastoreItem xmlns:ds="http://schemas.openxmlformats.org/officeDocument/2006/customXml" ds:itemID="{57483178-C91F-47A4-A8E5-06455649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b2a30-599d-4c89-8185-4bcb6e7f930b"/>
    <ds:schemaRef ds:uri="29d4ed7c-832b-4cb2-9769-8f13aeee3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B3E3B-4286-412D-B795-AE6048D92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02092-E648-46EF-99FF-2FFE523B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1245</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t:lpstr>
    </vt:vector>
  </TitlesOfParts>
  <Company>Maricopa County</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Julie Roberg</dc:creator>
  <cp:keywords/>
  <cp:lastModifiedBy>Lina Garcia (OPD)</cp:lastModifiedBy>
  <cp:revision>25</cp:revision>
  <cp:lastPrinted>2022-03-30T13:39:00Z</cp:lastPrinted>
  <dcterms:created xsi:type="dcterms:W3CDTF">2022-04-27T16:43:00Z</dcterms:created>
  <dcterms:modified xsi:type="dcterms:W3CDTF">2022-04-29T02:31:00Z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0x0101003DFC2905C0564C4D9618D73C992F59B0</vt:lpwstr>
  </property>
</Properties>
</file>