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810"/>
        <w:gridCol w:w="4675"/>
      </w:tblGrid>
      <w:tr w:rsidR="004E3121" w14:paraId="680AD29D" w14:textId="77777777" w:rsidTr="00F97518">
        <w:tc>
          <w:tcPr>
            <w:tcW w:w="3865" w:type="dxa"/>
          </w:tcPr>
          <w:p w14:paraId="0AAB67F8" w14:textId="77777777" w:rsidR="002038F0" w:rsidRPr="003E1390" w:rsidRDefault="002038F0" w:rsidP="002038F0">
            <w:pPr>
              <w:rPr>
                <w:rFonts w:cs="Times New Roman"/>
                <w:b/>
                <w:bCs/>
                <w:sz w:val="24"/>
                <w:szCs w:val="24"/>
              </w:rPr>
            </w:pPr>
            <w:r w:rsidRPr="003E1390">
              <w:rPr>
                <w:rFonts w:cs="Times New Roman"/>
                <w:b/>
                <w:bCs/>
                <w:sz w:val="24"/>
                <w:szCs w:val="24"/>
              </w:rPr>
              <w:t>Rosemarie Pena-Lynch</w:t>
            </w:r>
          </w:p>
          <w:p w14:paraId="6CC04798" w14:textId="55543895" w:rsidR="002038F0" w:rsidRPr="003E1390" w:rsidRDefault="002038F0" w:rsidP="002038F0">
            <w:pPr>
              <w:rPr>
                <w:rFonts w:cs="Times New Roman"/>
                <w:sz w:val="24"/>
                <w:szCs w:val="24"/>
              </w:rPr>
            </w:pPr>
            <w:r w:rsidRPr="003E1390">
              <w:rPr>
                <w:rFonts w:cs="Times New Roman"/>
                <w:sz w:val="24"/>
                <w:szCs w:val="24"/>
              </w:rPr>
              <w:t>Bar No.</w:t>
            </w:r>
            <w:r w:rsidR="000F4BAB">
              <w:rPr>
                <w:rFonts w:cs="Times New Roman"/>
                <w:sz w:val="24"/>
                <w:szCs w:val="24"/>
              </w:rPr>
              <w:t xml:space="preserve"> 23400</w:t>
            </w:r>
          </w:p>
          <w:p w14:paraId="27877C65" w14:textId="5959EAE8" w:rsidR="002038F0" w:rsidRPr="003E1390" w:rsidRDefault="002038F0" w:rsidP="002038F0">
            <w:pPr>
              <w:rPr>
                <w:rFonts w:cs="Times New Roman"/>
                <w:sz w:val="24"/>
                <w:szCs w:val="24"/>
              </w:rPr>
            </w:pPr>
            <w:r w:rsidRPr="003E1390">
              <w:rPr>
                <w:rFonts w:cs="Times New Roman"/>
                <w:sz w:val="24"/>
                <w:szCs w:val="24"/>
              </w:rPr>
              <w:t>Mcpa. Office of Public Defense S</w:t>
            </w:r>
            <w:r w:rsidR="002B45EC">
              <w:rPr>
                <w:rFonts w:cs="Times New Roman"/>
                <w:sz w:val="24"/>
                <w:szCs w:val="24"/>
              </w:rPr>
              <w:t>vc.</w:t>
            </w:r>
          </w:p>
          <w:p w14:paraId="13BBF102" w14:textId="77777777" w:rsidR="002038F0" w:rsidRPr="003E1390" w:rsidRDefault="002038F0" w:rsidP="002038F0">
            <w:pPr>
              <w:rPr>
                <w:rFonts w:cs="Times New Roman"/>
                <w:sz w:val="24"/>
                <w:szCs w:val="24"/>
              </w:rPr>
            </w:pPr>
            <w:r w:rsidRPr="003E1390">
              <w:rPr>
                <w:rFonts w:cs="Times New Roman"/>
                <w:sz w:val="24"/>
                <w:szCs w:val="24"/>
              </w:rPr>
              <w:t>620 W. Jackson, Suite 4015</w:t>
            </w:r>
          </w:p>
          <w:p w14:paraId="2C1983B0" w14:textId="77777777" w:rsidR="002038F0" w:rsidRPr="003E1390" w:rsidRDefault="002038F0" w:rsidP="002038F0">
            <w:pPr>
              <w:rPr>
                <w:rFonts w:cs="Times New Roman"/>
                <w:sz w:val="24"/>
                <w:szCs w:val="24"/>
              </w:rPr>
            </w:pPr>
            <w:r w:rsidRPr="003E1390">
              <w:rPr>
                <w:rFonts w:cs="Times New Roman"/>
                <w:sz w:val="24"/>
                <w:szCs w:val="24"/>
              </w:rPr>
              <w:t>Phoenix, AZ 85003</w:t>
            </w:r>
          </w:p>
          <w:p w14:paraId="69DDC5FC" w14:textId="77777777" w:rsidR="002038F0" w:rsidRPr="003E1390" w:rsidRDefault="002038F0" w:rsidP="002038F0">
            <w:pPr>
              <w:rPr>
                <w:rFonts w:cs="Times New Roman"/>
                <w:sz w:val="24"/>
                <w:szCs w:val="24"/>
              </w:rPr>
            </w:pPr>
            <w:r w:rsidRPr="003E1390">
              <w:rPr>
                <w:rFonts w:cs="Times New Roman"/>
                <w:sz w:val="24"/>
                <w:szCs w:val="24"/>
              </w:rPr>
              <w:t>602-506-7228</w:t>
            </w:r>
          </w:p>
          <w:p w14:paraId="7C014696" w14:textId="77777777" w:rsidR="002038F0" w:rsidRPr="003E1390" w:rsidRDefault="002038F0" w:rsidP="002038F0">
            <w:pPr>
              <w:rPr>
                <w:rFonts w:cs="Times New Roman"/>
                <w:sz w:val="24"/>
                <w:szCs w:val="24"/>
              </w:rPr>
            </w:pPr>
            <w:r w:rsidRPr="003E1390">
              <w:rPr>
                <w:rFonts w:cs="Times New Roman"/>
                <w:sz w:val="24"/>
                <w:szCs w:val="24"/>
              </w:rPr>
              <w:t>rosemarie.pena-lynch@maricopa.gov</w:t>
            </w:r>
          </w:p>
          <w:p w14:paraId="76765538" w14:textId="77777777" w:rsidR="00F97518" w:rsidRPr="003E1390" w:rsidRDefault="00F97518" w:rsidP="005A7884">
            <w:pPr>
              <w:rPr>
                <w:rFonts w:cs="Times New Roman"/>
                <w:sz w:val="24"/>
                <w:szCs w:val="24"/>
              </w:rPr>
            </w:pPr>
          </w:p>
          <w:p w14:paraId="7223E19F" w14:textId="77777777" w:rsidR="004E3121" w:rsidRPr="003E1390" w:rsidRDefault="004E3121" w:rsidP="00133209">
            <w:pPr>
              <w:rPr>
                <w:rFonts w:cs="Times New Roman"/>
                <w:sz w:val="24"/>
                <w:szCs w:val="24"/>
              </w:rPr>
            </w:pPr>
          </w:p>
        </w:tc>
        <w:tc>
          <w:tcPr>
            <w:tcW w:w="810" w:type="dxa"/>
          </w:tcPr>
          <w:p w14:paraId="6FF87FCD" w14:textId="77777777" w:rsidR="004E3121" w:rsidRPr="003E1390" w:rsidRDefault="004E3121" w:rsidP="005A7884">
            <w:pPr>
              <w:rPr>
                <w:rFonts w:cs="Times New Roman"/>
                <w:sz w:val="24"/>
                <w:szCs w:val="24"/>
              </w:rPr>
            </w:pPr>
          </w:p>
        </w:tc>
        <w:tc>
          <w:tcPr>
            <w:tcW w:w="4675" w:type="dxa"/>
          </w:tcPr>
          <w:p w14:paraId="525B92F5" w14:textId="77777777" w:rsidR="002038F0" w:rsidRPr="003E1390" w:rsidRDefault="002038F0" w:rsidP="002038F0">
            <w:pPr>
              <w:rPr>
                <w:rFonts w:cs="Times New Roman"/>
                <w:b/>
                <w:bCs/>
                <w:sz w:val="24"/>
                <w:szCs w:val="24"/>
              </w:rPr>
            </w:pPr>
            <w:r w:rsidRPr="003E1390">
              <w:rPr>
                <w:rFonts w:cs="Times New Roman"/>
                <w:b/>
                <w:bCs/>
                <w:sz w:val="24"/>
                <w:szCs w:val="24"/>
              </w:rPr>
              <w:t>Gary Kula</w:t>
            </w:r>
          </w:p>
          <w:p w14:paraId="1E21A7E2" w14:textId="77777777" w:rsidR="002038F0" w:rsidRPr="003E1390" w:rsidRDefault="002038F0" w:rsidP="002038F0">
            <w:pPr>
              <w:rPr>
                <w:rFonts w:cs="Times New Roman"/>
                <w:sz w:val="24"/>
                <w:szCs w:val="24"/>
              </w:rPr>
            </w:pPr>
            <w:r w:rsidRPr="003E1390">
              <w:rPr>
                <w:rFonts w:cs="Times New Roman"/>
                <w:sz w:val="24"/>
                <w:szCs w:val="24"/>
              </w:rPr>
              <w:t>Bar No. 012507</w:t>
            </w:r>
          </w:p>
          <w:p w14:paraId="0C324BA4" w14:textId="77777777" w:rsidR="002038F0" w:rsidRPr="003E1390" w:rsidRDefault="002038F0" w:rsidP="002038F0">
            <w:pPr>
              <w:rPr>
                <w:rFonts w:cs="Times New Roman"/>
                <w:sz w:val="24"/>
                <w:szCs w:val="24"/>
              </w:rPr>
            </w:pPr>
            <w:r w:rsidRPr="003E1390">
              <w:rPr>
                <w:rFonts w:cs="Times New Roman"/>
                <w:sz w:val="24"/>
                <w:szCs w:val="24"/>
              </w:rPr>
              <w:t>Mcpa. Public Defender’s Office</w:t>
            </w:r>
          </w:p>
          <w:p w14:paraId="008C9172" w14:textId="77777777" w:rsidR="002038F0" w:rsidRPr="003E1390" w:rsidRDefault="002038F0" w:rsidP="002038F0">
            <w:pPr>
              <w:rPr>
                <w:rFonts w:cs="Times New Roman"/>
                <w:sz w:val="24"/>
                <w:szCs w:val="24"/>
              </w:rPr>
            </w:pPr>
            <w:r w:rsidRPr="003E1390">
              <w:rPr>
                <w:rFonts w:cs="Times New Roman"/>
                <w:sz w:val="24"/>
                <w:szCs w:val="24"/>
              </w:rPr>
              <w:t>620 W. Jackson, Suite 4015</w:t>
            </w:r>
          </w:p>
          <w:p w14:paraId="2BB4851A" w14:textId="77777777" w:rsidR="002038F0" w:rsidRPr="003E1390" w:rsidRDefault="002038F0" w:rsidP="002038F0">
            <w:pPr>
              <w:rPr>
                <w:rFonts w:cs="Times New Roman"/>
                <w:sz w:val="24"/>
                <w:szCs w:val="24"/>
              </w:rPr>
            </w:pPr>
            <w:r w:rsidRPr="003E1390">
              <w:rPr>
                <w:rFonts w:cs="Times New Roman"/>
                <w:sz w:val="24"/>
                <w:szCs w:val="24"/>
              </w:rPr>
              <w:t>Phoenix, AZ 85003</w:t>
            </w:r>
          </w:p>
          <w:p w14:paraId="4763033F" w14:textId="77777777" w:rsidR="002038F0" w:rsidRPr="003E1390" w:rsidRDefault="002038F0" w:rsidP="002038F0">
            <w:pPr>
              <w:rPr>
                <w:rFonts w:cs="Times New Roman"/>
                <w:sz w:val="24"/>
                <w:szCs w:val="24"/>
              </w:rPr>
            </w:pPr>
            <w:r w:rsidRPr="003E1390">
              <w:rPr>
                <w:rFonts w:cs="Times New Roman"/>
                <w:sz w:val="24"/>
                <w:szCs w:val="24"/>
              </w:rPr>
              <w:t>602-506-7711</w:t>
            </w:r>
          </w:p>
          <w:p w14:paraId="3C807432" w14:textId="77777777" w:rsidR="002038F0" w:rsidRPr="003E1390" w:rsidRDefault="002038F0" w:rsidP="002038F0">
            <w:pPr>
              <w:rPr>
                <w:rFonts w:cs="Times New Roman"/>
                <w:sz w:val="24"/>
                <w:szCs w:val="24"/>
              </w:rPr>
            </w:pPr>
            <w:r w:rsidRPr="003E1390">
              <w:rPr>
                <w:rFonts w:cs="Times New Roman"/>
                <w:sz w:val="24"/>
                <w:szCs w:val="24"/>
              </w:rPr>
              <w:t>gary.kula@maricopa.gov</w:t>
            </w:r>
          </w:p>
          <w:p w14:paraId="65938965" w14:textId="77777777" w:rsidR="004E3121" w:rsidRPr="003E1390" w:rsidRDefault="004E3121" w:rsidP="002038F0">
            <w:pPr>
              <w:rPr>
                <w:rFonts w:cs="Times New Roman"/>
                <w:sz w:val="24"/>
                <w:szCs w:val="24"/>
              </w:rPr>
            </w:pPr>
          </w:p>
        </w:tc>
      </w:tr>
      <w:tr w:rsidR="004E3121" w14:paraId="18A4B17E" w14:textId="77777777" w:rsidTr="00F97518">
        <w:tc>
          <w:tcPr>
            <w:tcW w:w="3865" w:type="dxa"/>
          </w:tcPr>
          <w:p w14:paraId="5D1E92EB" w14:textId="77777777" w:rsidR="004E3121" w:rsidRPr="003E1390" w:rsidRDefault="004E3121" w:rsidP="005A7884">
            <w:pPr>
              <w:rPr>
                <w:rFonts w:cs="Times New Roman"/>
                <w:b/>
                <w:bCs/>
                <w:sz w:val="24"/>
                <w:szCs w:val="24"/>
              </w:rPr>
            </w:pPr>
            <w:r w:rsidRPr="003E1390">
              <w:rPr>
                <w:rFonts w:cs="Times New Roman"/>
                <w:b/>
                <w:bCs/>
                <w:sz w:val="24"/>
                <w:szCs w:val="24"/>
              </w:rPr>
              <w:t>Steve Koestner</w:t>
            </w:r>
          </w:p>
          <w:p w14:paraId="78F72985" w14:textId="39EB51D8" w:rsidR="004E3121" w:rsidRPr="003E1390" w:rsidRDefault="004E3121" w:rsidP="005A7884">
            <w:pPr>
              <w:rPr>
                <w:rFonts w:cs="Times New Roman"/>
                <w:sz w:val="24"/>
                <w:szCs w:val="24"/>
              </w:rPr>
            </w:pPr>
            <w:r w:rsidRPr="003E1390">
              <w:rPr>
                <w:rFonts w:cs="Times New Roman"/>
                <w:sz w:val="24"/>
                <w:szCs w:val="24"/>
              </w:rPr>
              <w:t xml:space="preserve">Bar No. </w:t>
            </w:r>
            <w:r w:rsidR="007B26CF">
              <w:rPr>
                <w:rFonts w:cs="Times New Roman"/>
                <w:szCs w:val="26"/>
              </w:rPr>
              <w:t>0</w:t>
            </w:r>
            <w:r w:rsidR="007B26CF">
              <w:rPr>
                <w:szCs w:val="26"/>
              </w:rPr>
              <w:t>11566</w:t>
            </w:r>
          </w:p>
          <w:p w14:paraId="3D00BF97" w14:textId="5DDB181E" w:rsidR="004E3121" w:rsidRPr="003E1390" w:rsidRDefault="004E3121" w:rsidP="005A7884">
            <w:pPr>
              <w:rPr>
                <w:rFonts w:cs="Times New Roman"/>
                <w:sz w:val="24"/>
                <w:szCs w:val="24"/>
              </w:rPr>
            </w:pPr>
            <w:r w:rsidRPr="003E1390">
              <w:rPr>
                <w:rFonts w:cs="Times New Roman"/>
                <w:sz w:val="24"/>
                <w:szCs w:val="24"/>
              </w:rPr>
              <w:t>Mcpa. Office of Legal Advocate</w:t>
            </w:r>
          </w:p>
          <w:p w14:paraId="60C2C976" w14:textId="77777777" w:rsidR="004E3121" w:rsidRPr="003E1390" w:rsidRDefault="004E3121" w:rsidP="005A7884">
            <w:pPr>
              <w:rPr>
                <w:rFonts w:cs="Times New Roman"/>
                <w:sz w:val="24"/>
                <w:szCs w:val="24"/>
              </w:rPr>
            </w:pPr>
            <w:r w:rsidRPr="003E1390">
              <w:rPr>
                <w:rFonts w:cs="Times New Roman"/>
                <w:sz w:val="24"/>
                <w:szCs w:val="24"/>
              </w:rPr>
              <w:t>222 N. Central, Suite 154</w:t>
            </w:r>
          </w:p>
          <w:p w14:paraId="2BB7AA41" w14:textId="77777777" w:rsidR="004E3121" w:rsidRPr="003E1390" w:rsidRDefault="004E3121" w:rsidP="005A7884">
            <w:pPr>
              <w:rPr>
                <w:rFonts w:cs="Times New Roman"/>
                <w:sz w:val="24"/>
                <w:szCs w:val="24"/>
              </w:rPr>
            </w:pPr>
            <w:r w:rsidRPr="003E1390">
              <w:rPr>
                <w:rFonts w:cs="Times New Roman"/>
                <w:sz w:val="24"/>
                <w:szCs w:val="24"/>
              </w:rPr>
              <w:t>Phoenix, AZ 85004</w:t>
            </w:r>
          </w:p>
          <w:p w14:paraId="400B5927" w14:textId="5C2D76DB" w:rsidR="004E3121" w:rsidRPr="003E1390" w:rsidRDefault="004E3121" w:rsidP="005A7884">
            <w:pPr>
              <w:rPr>
                <w:rFonts w:cs="Times New Roman"/>
                <w:sz w:val="24"/>
                <w:szCs w:val="24"/>
              </w:rPr>
            </w:pPr>
            <w:r w:rsidRPr="003E1390">
              <w:rPr>
                <w:rFonts w:cs="Times New Roman"/>
                <w:sz w:val="24"/>
                <w:szCs w:val="24"/>
              </w:rPr>
              <w:t>602</w:t>
            </w:r>
            <w:r w:rsidR="00AD29FF" w:rsidRPr="003E1390">
              <w:rPr>
                <w:rFonts w:cs="Times New Roman"/>
                <w:sz w:val="24"/>
                <w:szCs w:val="24"/>
              </w:rPr>
              <w:t>-</w:t>
            </w:r>
            <w:r w:rsidRPr="003E1390">
              <w:rPr>
                <w:rFonts w:cs="Times New Roman"/>
                <w:sz w:val="24"/>
                <w:szCs w:val="24"/>
              </w:rPr>
              <w:t>506-4111</w:t>
            </w:r>
          </w:p>
          <w:p w14:paraId="0E680955" w14:textId="21998084" w:rsidR="004E3121" w:rsidRPr="003E1390" w:rsidRDefault="000A5104" w:rsidP="005A7884">
            <w:pPr>
              <w:rPr>
                <w:rFonts w:cs="Times New Roman"/>
                <w:sz w:val="24"/>
                <w:szCs w:val="24"/>
              </w:rPr>
            </w:pPr>
            <w:r>
              <w:rPr>
                <w:rFonts w:cs="Times New Roman"/>
                <w:sz w:val="24"/>
                <w:szCs w:val="24"/>
              </w:rPr>
              <w:t>s</w:t>
            </w:r>
            <w:r w:rsidR="00AD29FF" w:rsidRPr="003E1390">
              <w:rPr>
                <w:rFonts w:cs="Times New Roman"/>
                <w:sz w:val="24"/>
                <w:szCs w:val="24"/>
              </w:rPr>
              <w:t>teve.koestner</w:t>
            </w:r>
            <w:r w:rsidR="004E3121" w:rsidRPr="003E1390">
              <w:rPr>
                <w:rFonts w:cs="Times New Roman"/>
                <w:sz w:val="24"/>
                <w:szCs w:val="24"/>
              </w:rPr>
              <w:t>@maricopa.gov</w:t>
            </w:r>
          </w:p>
          <w:p w14:paraId="023EB299" w14:textId="77777777" w:rsidR="004E3121" w:rsidRPr="003E1390" w:rsidRDefault="004E3121" w:rsidP="00133209">
            <w:pPr>
              <w:rPr>
                <w:rFonts w:cs="Times New Roman"/>
                <w:sz w:val="24"/>
                <w:szCs w:val="24"/>
              </w:rPr>
            </w:pPr>
          </w:p>
        </w:tc>
        <w:tc>
          <w:tcPr>
            <w:tcW w:w="810" w:type="dxa"/>
          </w:tcPr>
          <w:p w14:paraId="6E0146CC" w14:textId="77777777" w:rsidR="004E3121" w:rsidRPr="003E1390" w:rsidRDefault="004E3121" w:rsidP="005A7884">
            <w:pPr>
              <w:rPr>
                <w:rFonts w:cs="Times New Roman"/>
                <w:sz w:val="24"/>
                <w:szCs w:val="24"/>
              </w:rPr>
            </w:pPr>
          </w:p>
        </w:tc>
        <w:tc>
          <w:tcPr>
            <w:tcW w:w="4675" w:type="dxa"/>
          </w:tcPr>
          <w:p w14:paraId="409033F1" w14:textId="5E188709" w:rsidR="004E3121" w:rsidRPr="003E1390" w:rsidRDefault="004E3121" w:rsidP="005A7884">
            <w:pPr>
              <w:rPr>
                <w:rFonts w:cs="Times New Roman"/>
                <w:b/>
                <w:bCs/>
                <w:sz w:val="24"/>
                <w:szCs w:val="24"/>
              </w:rPr>
            </w:pPr>
            <w:r w:rsidRPr="003E1390">
              <w:rPr>
                <w:rFonts w:cs="Times New Roman"/>
                <w:b/>
                <w:bCs/>
                <w:sz w:val="24"/>
                <w:szCs w:val="24"/>
              </w:rPr>
              <w:t>Sherri McGuire Lawson</w:t>
            </w:r>
          </w:p>
          <w:p w14:paraId="77258BE0" w14:textId="77777777" w:rsidR="004E3121" w:rsidRPr="003E1390" w:rsidRDefault="004E3121" w:rsidP="005A7884">
            <w:pPr>
              <w:rPr>
                <w:rFonts w:cs="Times New Roman"/>
                <w:sz w:val="24"/>
                <w:szCs w:val="24"/>
              </w:rPr>
            </w:pPr>
            <w:r w:rsidRPr="003E1390">
              <w:rPr>
                <w:rFonts w:cs="Times New Roman"/>
                <w:sz w:val="24"/>
                <w:szCs w:val="24"/>
              </w:rPr>
              <w:t>Bar No. 013605</w:t>
            </w:r>
          </w:p>
          <w:p w14:paraId="7673FCB8" w14:textId="411ED069" w:rsidR="004E3121" w:rsidRPr="003E1390" w:rsidRDefault="004E3121" w:rsidP="005A7884">
            <w:pPr>
              <w:rPr>
                <w:rFonts w:cs="Times New Roman"/>
                <w:sz w:val="24"/>
                <w:szCs w:val="24"/>
              </w:rPr>
            </w:pPr>
            <w:r w:rsidRPr="003E1390">
              <w:rPr>
                <w:rFonts w:cs="Times New Roman"/>
                <w:sz w:val="24"/>
                <w:szCs w:val="24"/>
              </w:rPr>
              <w:t>Mcpa. Office of Legal Defender</w:t>
            </w:r>
          </w:p>
          <w:p w14:paraId="5AB311DB" w14:textId="77777777" w:rsidR="004E3121" w:rsidRPr="003E1390" w:rsidRDefault="004E3121" w:rsidP="005A7884">
            <w:pPr>
              <w:rPr>
                <w:rFonts w:cs="Times New Roman"/>
                <w:sz w:val="24"/>
                <w:szCs w:val="24"/>
              </w:rPr>
            </w:pPr>
            <w:r w:rsidRPr="003E1390">
              <w:rPr>
                <w:rFonts w:cs="Times New Roman"/>
                <w:sz w:val="24"/>
                <w:szCs w:val="24"/>
              </w:rPr>
              <w:t>222 N. Central, Suite 8100</w:t>
            </w:r>
          </w:p>
          <w:p w14:paraId="22C0F7DF" w14:textId="77777777" w:rsidR="004E3121" w:rsidRPr="003E1390" w:rsidRDefault="004E3121" w:rsidP="005A7884">
            <w:pPr>
              <w:rPr>
                <w:rFonts w:cs="Times New Roman"/>
                <w:sz w:val="24"/>
                <w:szCs w:val="24"/>
              </w:rPr>
            </w:pPr>
            <w:r w:rsidRPr="003E1390">
              <w:rPr>
                <w:rFonts w:cs="Times New Roman"/>
                <w:sz w:val="24"/>
                <w:szCs w:val="24"/>
              </w:rPr>
              <w:t>Phoenix, AZ 85004</w:t>
            </w:r>
          </w:p>
          <w:p w14:paraId="5FF1DC68" w14:textId="2AEEBBF9" w:rsidR="004E3121" w:rsidRPr="003E1390" w:rsidRDefault="004E3121" w:rsidP="005A7884">
            <w:pPr>
              <w:rPr>
                <w:rFonts w:cs="Times New Roman"/>
                <w:sz w:val="24"/>
                <w:szCs w:val="24"/>
              </w:rPr>
            </w:pPr>
            <w:r w:rsidRPr="003E1390">
              <w:rPr>
                <w:rFonts w:cs="Times New Roman"/>
                <w:sz w:val="24"/>
                <w:szCs w:val="24"/>
              </w:rPr>
              <w:t>602</w:t>
            </w:r>
            <w:r w:rsidR="00AD29FF" w:rsidRPr="003E1390">
              <w:rPr>
                <w:rFonts w:cs="Times New Roman"/>
                <w:sz w:val="24"/>
                <w:szCs w:val="24"/>
              </w:rPr>
              <w:t>-</w:t>
            </w:r>
            <w:r w:rsidRPr="003E1390">
              <w:rPr>
                <w:rFonts w:cs="Times New Roman"/>
                <w:sz w:val="24"/>
                <w:szCs w:val="24"/>
              </w:rPr>
              <w:t>506-8800</w:t>
            </w:r>
          </w:p>
          <w:p w14:paraId="5CA17D09" w14:textId="6E265EDD" w:rsidR="004E3121" w:rsidRPr="003E1390" w:rsidRDefault="004E3121" w:rsidP="005A7884">
            <w:pPr>
              <w:rPr>
                <w:rFonts w:cs="Times New Roman"/>
                <w:sz w:val="24"/>
                <w:szCs w:val="24"/>
              </w:rPr>
            </w:pPr>
            <w:r w:rsidRPr="003E1390">
              <w:rPr>
                <w:rFonts w:cs="Times New Roman"/>
                <w:sz w:val="24"/>
                <w:szCs w:val="24"/>
              </w:rPr>
              <w:t>sherri.mcguire@maricopa.gov</w:t>
            </w:r>
          </w:p>
          <w:p w14:paraId="3A5637BA" w14:textId="77777777" w:rsidR="004E3121" w:rsidRPr="003E1390" w:rsidRDefault="004E3121" w:rsidP="00133209">
            <w:pPr>
              <w:rPr>
                <w:rFonts w:cs="Times New Roman"/>
                <w:sz w:val="24"/>
                <w:szCs w:val="24"/>
              </w:rPr>
            </w:pPr>
          </w:p>
        </w:tc>
      </w:tr>
    </w:tbl>
    <w:p w14:paraId="6CD8D411" w14:textId="77777777" w:rsidR="005A7884" w:rsidRDefault="005A7884" w:rsidP="00133209">
      <w:pPr>
        <w:rPr>
          <w:rFonts w:cs="Times New Roman"/>
          <w:szCs w:val="26"/>
        </w:rPr>
      </w:pPr>
    </w:p>
    <w:p w14:paraId="6C6212B3" w14:textId="59B0FA7F" w:rsidR="00CD29DC" w:rsidRDefault="00CD29DC">
      <w:pPr>
        <w:rPr>
          <w:rFonts w:cs="Times New Roman"/>
          <w:szCs w:val="26"/>
        </w:rPr>
      </w:pPr>
    </w:p>
    <w:p w14:paraId="7586B0D4" w14:textId="4B3AABED" w:rsidR="003E1390" w:rsidRDefault="003E1390">
      <w:pPr>
        <w:rPr>
          <w:rFonts w:cs="Times New Roman"/>
          <w:szCs w:val="26"/>
        </w:rPr>
      </w:pPr>
    </w:p>
    <w:p w14:paraId="24E28721" w14:textId="00B72B1A" w:rsidR="003E1390" w:rsidRDefault="003E1390">
      <w:pPr>
        <w:rPr>
          <w:rFonts w:cs="Times New Roman"/>
          <w:szCs w:val="26"/>
        </w:rPr>
      </w:pPr>
    </w:p>
    <w:p w14:paraId="0DFD2D22" w14:textId="77777777" w:rsidR="000A566B" w:rsidRPr="005C11D3" w:rsidRDefault="000A566B">
      <w:pPr>
        <w:rPr>
          <w:rFonts w:cs="Times New Roman"/>
          <w:szCs w:val="26"/>
        </w:rPr>
      </w:pPr>
    </w:p>
    <w:p w14:paraId="4E800552" w14:textId="4EE3D5B6" w:rsidR="00CD29DC" w:rsidRPr="005C11D3" w:rsidRDefault="00CD29DC" w:rsidP="00CD29DC">
      <w:pPr>
        <w:jc w:val="center"/>
        <w:rPr>
          <w:rFonts w:cs="Times New Roman"/>
          <w:b/>
          <w:bCs/>
          <w:szCs w:val="26"/>
        </w:rPr>
      </w:pPr>
      <w:r w:rsidRPr="005C11D3">
        <w:rPr>
          <w:rFonts w:cs="Times New Roman"/>
          <w:b/>
          <w:bCs/>
          <w:szCs w:val="26"/>
        </w:rPr>
        <w:t>ARIZONA SUPREME COURT</w:t>
      </w:r>
    </w:p>
    <w:p w14:paraId="158A7C2A" w14:textId="77777777" w:rsidR="00CD29DC" w:rsidRPr="005C11D3" w:rsidRDefault="00CD29DC" w:rsidP="00CD29DC">
      <w:pPr>
        <w:jc w:val="center"/>
        <w:rPr>
          <w:rFonts w:cs="Times New Roman"/>
          <w:szCs w:val="26"/>
        </w:rPr>
      </w:pPr>
    </w:p>
    <w:p w14:paraId="4610E512" w14:textId="1130C8C6" w:rsidR="00CD29DC" w:rsidRPr="005C11D3" w:rsidRDefault="00CD29DC">
      <w:pPr>
        <w:rPr>
          <w:rFonts w:cs="Times New Roman"/>
          <w:szCs w:val="26"/>
        </w:rPr>
      </w:pPr>
    </w:p>
    <w:tbl>
      <w:tblPr>
        <w:tblW w:w="0" w:type="auto"/>
        <w:tblBorders>
          <w:bottom w:val="single" w:sz="4" w:space="0" w:color="auto"/>
          <w:insideV w:val="single" w:sz="4" w:space="0" w:color="auto"/>
        </w:tblBorders>
        <w:tblLook w:val="01E0" w:firstRow="1" w:lastRow="1" w:firstColumn="1" w:lastColumn="1" w:noHBand="0" w:noVBand="0"/>
      </w:tblPr>
      <w:tblGrid>
        <w:gridCol w:w="4693"/>
        <w:gridCol w:w="4667"/>
      </w:tblGrid>
      <w:tr w:rsidR="00CD29DC" w:rsidRPr="005C11D3" w14:paraId="164B63B3" w14:textId="77777777" w:rsidTr="009C2ECE">
        <w:trPr>
          <w:trHeight w:val="1098"/>
        </w:trPr>
        <w:tc>
          <w:tcPr>
            <w:tcW w:w="4788" w:type="dxa"/>
          </w:tcPr>
          <w:p w14:paraId="3823D9D0" w14:textId="19E1F09A" w:rsidR="00CD29DC" w:rsidRPr="005C11D3" w:rsidRDefault="00CD29DC" w:rsidP="009C2ECE">
            <w:pPr>
              <w:tabs>
                <w:tab w:val="left" w:pos="1440"/>
                <w:tab w:val="left" w:pos="2144"/>
              </w:tabs>
              <w:rPr>
                <w:rFonts w:cs="Times New Roman"/>
                <w:szCs w:val="26"/>
              </w:rPr>
            </w:pPr>
            <w:r w:rsidRPr="005C11D3">
              <w:rPr>
                <w:rFonts w:cs="Times New Roman"/>
                <w:szCs w:val="26"/>
              </w:rPr>
              <w:t>In the Matter of:</w:t>
            </w:r>
          </w:p>
          <w:p w14:paraId="0BD8141F" w14:textId="7B88AA5F" w:rsidR="00CD29DC" w:rsidRPr="005C11D3" w:rsidRDefault="00CD29DC" w:rsidP="009C2ECE">
            <w:pPr>
              <w:tabs>
                <w:tab w:val="left" w:pos="1440"/>
                <w:tab w:val="left" w:pos="2144"/>
              </w:tabs>
              <w:rPr>
                <w:rFonts w:cs="Times New Roman"/>
                <w:szCs w:val="26"/>
              </w:rPr>
            </w:pPr>
          </w:p>
          <w:p w14:paraId="724FB453" w14:textId="47C7DB65" w:rsidR="00CD29DC" w:rsidRPr="005C11D3" w:rsidRDefault="00CD29DC" w:rsidP="00CD29DC">
            <w:pPr>
              <w:tabs>
                <w:tab w:val="left" w:pos="1440"/>
                <w:tab w:val="left" w:pos="2144"/>
              </w:tabs>
              <w:rPr>
                <w:rFonts w:cs="Times New Roman"/>
                <w:szCs w:val="26"/>
              </w:rPr>
            </w:pPr>
            <w:r w:rsidRPr="005C11D3">
              <w:rPr>
                <w:rFonts w:cs="Times New Roman"/>
                <w:szCs w:val="26"/>
              </w:rPr>
              <w:t xml:space="preserve">PETITION TO ADOPT RULE 2.6, RULES OF CRIMINAL PROCEDURE                         </w:t>
            </w:r>
          </w:p>
        </w:tc>
        <w:tc>
          <w:tcPr>
            <w:tcW w:w="4788" w:type="dxa"/>
          </w:tcPr>
          <w:p w14:paraId="76C5C4D7" w14:textId="59389439" w:rsidR="00CD29DC" w:rsidRPr="005C11D3" w:rsidRDefault="00CD29DC" w:rsidP="009C2ECE">
            <w:pPr>
              <w:ind w:left="446" w:hanging="446"/>
              <w:rPr>
                <w:rFonts w:cs="Times New Roman"/>
                <w:szCs w:val="26"/>
              </w:rPr>
            </w:pPr>
          </w:p>
          <w:p w14:paraId="1C1D7381" w14:textId="75109042" w:rsidR="00CD29DC" w:rsidRPr="005C11D3" w:rsidRDefault="00CD29DC" w:rsidP="009C2ECE">
            <w:pPr>
              <w:ind w:left="446" w:hanging="446"/>
              <w:rPr>
                <w:rFonts w:cs="Times New Roman"/>
                <w:szCs w:val="26"/>
              </w:rPr>
            </w:pPr>
            <w:r w:rsidRPr="005C11D3">
              <w:rPr>
                <w:rFonts w:cs="Times New Roman"/>
                <w:szCs w:val="26"/>
              </w:rPr>
              <w:t>Supreme Court No. R-22-</w:t>
            </w:r>
            <w:r w:rsidR="00133209" w:rsidRPr="005C11D3">
              <w:rPr>
                <w:rFonts w:cs="Times New Roman"/>
                <w:szCs w:val="26"/>
              </w:rPr>
              <w:t>0002</w:t>
            </w:r>
          </w:p>
          <w:p w14:paraId="5A8B4D31" w14:textId="2D1D30DC" w:rsidR="00CD29DC" w:rsidRPr="005C11D3" w:rsidRDefault="00CD29DC" w:rsidP="009C2ECE">
            <w:pPr>
              <w:ind w:left="446" w:hanging="446"/>
              <w:rPr>
                <w:rFonts w:cs="Times New Roman"/>
                <w:szCs w:val="26"/>
              </w:rPr>
            </w:pPr>
          </w:p>
          <w:p w14:paraId="2E355240" w14:textId="77777777" w:rsidR="00CD29DC" w:rsidRPr="003B6CEC" w:rsidRDefault="00CD29DC" w:rsidP="009C2ECE">
            <w:pPr>
              <w:ind w:left="446" w:hanging="446"/>
              <w:rPr>
                <w:rFonts w:cs="Times New Roman"/>
                <w:b/>
                <w:bCs/>
                <w:szCs w:val="26"/>
              </w:rPr>
            </w:pPr>
            <w:r w:rsidRPr="003B6CEC">
              <w:rPr>
                <w:rFonts w:cs="Times New Roman"/>
                <w:b/>
                <w:bCs/>
                <w:szCs w:val="26"/>
              </w:rPr>
              <w:t xml:space="preserve">Comment by the Directors of </w:t>
            </w:r>
          </w:p>
          <w:p w14:paraId="2CA6269A" w14:textId="77777777" w:rsidR="00133209" w:rsidRPr="003B6CEC" w:rsidRDefault="00CD29DC" w:rsidP="00CD29DC">
            <w:pPr>
              <w:ind w:left="446" w:hanging="446"/>
              <w:rPr>
                <w:rFonts w:cs="Times New Roman"/>
                <w:b/>
                <w:bCs/>
                <w:szCs w:val="26"/>
              </w:rPr>
            </w:pPr>
            <w:r w:rsidRPr="003B6CEC">
              <w:rPr>
                <w:rFonts w:cs="Times New Roman"/>
                <w:b/>
                <w:bCs/>
                <w:szCs w:val="26"/>
              </w:rPr>
              <w:t xml:space="preserve">Maricopa County Indigent Defense </w:t>
            </w:r>
          </w:p>
          <w:p w14:paraId="2C3C09A9" w14:textId="3B07932E" w:rsidR="00CD29DC" w:rsidRPr="005C11D3" w:rsidRDefault="00CD29DC" w:rsidP="00CD29DC">
            <w:pPr>
              <w:ind w:left="446" w:hanging="446"/>
              <w:rPr>
                <w:rFonts w:cs="Times New Roman"/>
                <w:szCs w:val="26"/>
              </w:rPr>
            </w:pPr>
            <w:r w:rsidRPr="003B6CEC">
              <w:rPr>
                <w:rFonts w:cs="Times New Roman"/>
                <w:b/>
                <w:bCs/>
                <w:szCs w:val="26"/>
              </w:rPr>
              <w:t>Agencies</w:t>
            </w:r>
            <w:r w:rsidRPr="005C11D3">
              <w:rPr>
                <w:rFonts w:cs="Times New Roman"/>
                <w:szCs w:val="26"/>
              </w:rPr>
              <w:t xml:space="preserve"> </w:t>
            </w:r>
          </w:p>
        </w:tc>
      </w:tr>
      <w:tr w:rsidR="00CD29DC" w:rsidRPr="005C11D3" w14:paraId="2E848F70" w14:textId="77777777" w:rsidTr="009C2ECE">
        <w:trPr>
          <w:trHeight w:val="52"/>
        </w:trPr>
        <w:tc>
          <w:tcPr>
            <w:tcW w:w="4788" w:type="dxa"/>
          </w:tcPr>
          <w:p w14:paraId="653C928E" w14:textId="77777777" w:rsidR="00CD29DC" w:rsidRPr="005C11D3" w:rsidRDefault="00CD29DC" w:rsidP="009C2ECE">
            <w:pPr>
              <w:tabs>
                <w:tab w:val="left" w:pos="2144"/>
              </w:tabs>
              <w:rPr>
                <w:rFonts w:cs="Times New Roman"/>
                <w:szCs w:val="26"/>
              </w:rPr>
            </w:pPr>
            <w:r w:rsidRPr="005C11D3">
              <w:rPr>
                <w:rFonts w:cs="Times New Roman"/>
                <w:szCs w:val="26"/>
              </w:rPr>
              <w:tab/>
            </w:r>
          </w:p>
        </w:tc>
        <w:tc>
          <w:tcPr>
            <w:tcW w:w="4788" w:type="dxa"/>
          </w:tcPr>
          <w:p w14:paraId="5FCF4B31" w14:textId="77777777" w:rsidR="00CD29DC" w:rsidRPr="005C11D3" w:rsidRDefault="00CD29DC" w:rsidP="009C2ECE">
            <w:pPr>
              <w:rPr>
                <w:rFonts w:cs="Times New Roman"/>
                <w:szCs w:val="26"/>
              </w:rPr>
            </w:pPr>
          </w:p>
        </w:tc>
      </w:tr>
    </w:tbl>
    <w:p w14:paraId="17930742" w14:textId="5C9D7DF8" w:rsidR="00CD29DC" w:rsidRPr="005C11D3" w:rsidRDefault="00CD29DC">
      <w:pPr>
        <w:rPr>
          <w:rFonts w:cs="Times New Roman"/>
          <w:szCs w:val="26"/>
        </w:rPr>
      </w:pPr>
    </w:p>
    <w:p w14:paraId="20F68CC8" w14:textId="5D7107AA" w:rsidR="00CD29DC" w:rsidRPr="005C11D3" w:rsidRDefault="00CD29DC" w:rsidP="00CD29DC">
      <w:pPr>
        <w:spacing w:line="480" w:lineRule="auto"/>
        <w:ind w:firstLine="720"/>
        <w:jc w:val="both"/>
        <w:rPr>
          <w:rFonts w:cs="Times New Roman"/>
          <w:szCs w:val="26"/>
        </w:rPr>
      </w:pPr>
      <w:r w:rsidRPr="005C11D3">
        <w:rPr>
          <w:rFonts w:cs="Times New Roman"/>
          <w:szCs w:val="26"/>
        </w:rPr>
        <w:t xml:space="preserve">We are the directors of </w:t>
      </w:r>
      <w:r w:rsidR="00522DB6">
        <w:rPr>
          <w:rFonts w:cs="Times New Roman"/>
          <w:szCs w:val="26"/>
        </w:rPr>
        <w:t xml:space="preserve">the </w:t>
      </w:r>
      <w:r w:rsidR="0040707F">
        <w:rPr>
          <w:rFonts w:cs="Times New Roman"/>
          <w:szCs w:val="26"/>
        </w:rPr>
        <w:t>indigent defender</w:t>
      </w:r>
      <w:r w:rsidR="00687127">
        <w:rPr>
          <w:rFonts w:cs="Times New Roman"/>
          <w:szCs w:val="26"/>
        </w:rPr>
        <w:t xml:space="preserve"> </w:t>
      </w:r>
      <w:r w:rsidRPr="005C11D3">
        <w:rPr>
          <w:rFonts w:cs="Times New Roman"/>
          <w:szCs w:val="26"/>
        </w:rPr>
        <w:t>agencies that handle most indigent felony cases filed in Maricopa County. We submit this comment in support of the proposal to adopt Rule 2.6, Ariz. R. Crim. P. We believe that enacting additional procedural safeguards requiring law enforcement to prove the necessity of a “</w:t>
      </w:r>
      <w:r w:rsidR="00133209" w:rsidRPr="005C11D3">
        <w:rPr>
          <w:rFonts w:cs="Times New Roman"/>
          <w:szCs w:val="26"/>
        </w:rPr>
        <w:t>no knock</w:t>
      </w:r>
      <w:r w:rsidRPr="005C11D3">
        <w:rPr>
          <w:rFonts w:cs="Times New Roman"/>
          <w:szCs w:val="26"/>
        </w:rPr>
        <w:t>” warrant</w:t>
      </w:r>
      <w:r w:rsidR="00CD0120" w:rsidRPr="005C11D3">
        <w:rPr>
          <w:rFonts w:cs="Times New Roman"/>
          <w:szCs w:val="26"/>
        </w:rPr>
        <w:t xml:space="preserve"> to a </w:t>
      </w:r>
      <w:r w:rsidR="00CD0120" w:rsidRPr="005C11D3">
        <w:rPr>
          <w:rFonts w:cs="Times New Roman"/>
          <w:szCs w:val="26"/>
        </w:rPr>
        <w:lastRenderedPageBreak/>
        <w:t>neutral magistrate</w:t>
      </w:r>
      <w:r w:rsidRPr="005C11D3">
        <w:rPr>
          <w:rFonts w:cs="Times New Roman"/>
          <w:szCs w:val="26"/>
        </w:rPr>
        <w:t xml:space="preserve"> will promote the safety of our clients, law enforcement, and the</w:t>
      </w:r>
      <w:r w:rsidR="00CD0120" w:rsidRPr="005C11D3">
        <w:rPr>
          <w:rFonts w:cs="Times New Roman"/>
          <w:szCs w:val="26"/>
        </w:rPr>
        <w:t xml:space="preserve"> </w:t>
      </w:r>
      <w:r w:rsidRPr="005C11D3">
        <w:rPr>
          <w:rFonts w:cs="Times New Roman"/>
          <w:szCs w:val="26"/>
        </w:rPr>
        <w:t>community at large.</w:t>
      </w:r>
      <w:r w:rsidR="00C80F56" w:rsidRPr="005C11D3">
        <w:rPr>
          <w:rFonts w:cs="Times New Roman"/>
          <w:szCs w:val="26"/>
        </w:rPr>
        <w:t xml:space="preserve"> </w:t>
      </w:r>
    </w:p>
    <w:p w14:paraId="2BCF46B7" w14:textId="293CC490" w:rsidR="00CD0120" w:rsidRPr="005C11D3" w:rsidRDefault="00CD0120" w:rsidP="0040277A">
      <w:pPr>
        <w:pStyle w:val="ListParagraph"/>
        <w:numPr>
          <w:ilvl w:val="0"/>
          <w:numId w:val="1"/>
        </w:numPr>
        <w:jc w:val="both"/>
        <w:rPr>
          <w:rFonts w:cs="Times New Roman"/>
          <w:b/>
          <w:bCs/>
          <w:szCs w:val="26"/>
          <w:u w:val="single"/>
        </w:rPr>
      </w:pPr>
      <w:r w:rsidRPr="005C11D3">
        <w:rPr>
          <w:rFonts w:cs="Times New Roman"/>
          <w:b/>
          <w:bCs/>
          <w:szCs w:val="26"/>
          <w:u w:val="single"/>
        </w:rPr>
        <w:t>“</w:t>
      </w:r>
      <w:r w:rsidR="00133209" w:rsidRPr="005C11D3">
        <w:rPr>
          <w:rFonts w:cs="Times New Roman"/>
          <w:b/>
          <w:bCs/>
          <w:szCs w:val="26"/>
          <w:u w:val="single"/>
        </w:rPr>
        <w:t>No knock</w:t>
      </w:r>
      <w:r w:rsidRPr="005C11D3">
        <w:rPr>
          <w:rFonts w:cs="Times New Roman"/>
          <w:b/>
          <w:bCs/>
          <w:szCs w:val="26"/>
          <w:u w:val="single"/>
        </w:rPr>
        <w:t xml:space="preserve">” warrants are inherently dangerous and should be limited to situations in which an announced entry endangers individual safety or situations in which evidence will likely be destroyed. </w:t>
      </w:r>
    </w:p>
    <w:p w14:paraId="61ACEFA7" w14:textId="77777777" w:rsidR="0040277A" w:rsidRPr="005C11D3" w:rsidRDefault="0040277A" w:rsidP="0040277A">
      <w:pPr>
        <w:jc w:val="both"/>
        <w:rPr>
          <w:rFonts w:cs="Times New Roman"/>
          <w:szCs w:val="26"/>
          <w:u w:val="single"/>
        </w:rPr>
      </w:pPr>
    </w:p>
    <w:p w14:paraId="24AC20AE" w14:textId="12462D65" w:rsidR="00CD60E3" w:rsidRDefault="000826DD" w:rsidP="00F44E30">
      <w:pPr>
        <w:spacing w:line="480" w:lineRule="auto"/>
        <w:ind w:firstLine="720"/>
        <w:jc w:val="both"/>
        <w:rPr>
          <w:rFonts w:cs="Times New Roman"/>
          <w:szCs w:val="26"/>
        </w:rPr>
      </w:pPr>
      <w:r w:rsidRPr="005C11D3">
        <w:rPr>
          <w:rFonts w:cs="Times New Roman"/>
          <w:szCs w:val="26"/>
        </w:rPr>
        <w:t>S</w:t>
      </w:r>
      <w:r w:rsidR="0040277A" w:rsidRPr="005C11D3">
        <w:rPr>
          <w:rFonts w:cs="Times New Roman"/>
          <w:szCs w:val="26"/>
        </w:rPr>
        <w:t>earch warrants are an essential tool for law enforcement investigations</w:t>
      </w:r>
      <w:r w:rsidRPr="005C11D3">
        <w:rPr>
          <w:rFonts w:cs="Times New Roman"/>
          <w:szCs w:val="26"/>
        </w:rPr>
        <w:t>.</w:t>
      </w:r>
      <w:r w:rsidR="001A404D" w:rsidRPr="005C11D3">
        <w:rPr>
          <w:rFonts w:cs="Times New Roman"/>
          <w:szCs w:val="26"/>
        </w:rPr>
        <w:t xml:space="preserve"> Search warrant</w:t>
      </w:r>
      <w:r w:rsidR="005149FD" w:rsidRPr="005C11D3">
        <w:rPr>
          <w:rFonts w:cs="Times New Roman"/>
          <w:szCs w:val="26"/>
        </w:rPr>
        <w:t xml:space="preserve">s </w:t>
      </w:r>
      <w:r w:rsidR="002F754B" w:rsidRPr="005C11D3">
        <w:rPr>
          <w:rFonts w:cs="Times New Roman"/>
          <w:szCs w:val="26"/>
        </w:rPr>
        <w:t xml:space="preserve">also </w:t>
      </w:r>
      <w:r w:rsidR="00CB12F4" w:rsidRPr="005C11D3">
        <w:rPr>
          <w:rFonts w:cs="Times New Roman"/>
          <w:szCs w:val="26"/>
        </w:rPr>
        <w:t>v</w:t>
      </w:r>
      <w:r w:rsidR="006C288A" w:rsidRPr="005C11D3">
        <w:rPr>
          <w:rFonts w:cs="Times New Roman"/>
          <w:szCs w:val="26"/>
        </w:rPr>
        <w:t xml:space="preserve">indicate an individual’s rights against unreasonable search and seizure under </w:t>
      </w:r>
      <w:r w:rsidR="00AB036F" w:rsidRPr="005C11D3">
        <w:rPr>
          <w:rFonts w:cs="Times New Roman"/>
          <w:szCs w:val="26"/>
        </w:rPr>
        <w:t>U.S. Constitution amend. IV and Ariz. Const. art. II, §</w:t>
      </w:r>
      <w:r w:rsidR="00EA6C75">
        <w:rPr>
          <w:rFonts w:cs="Times New Roman"/>
          <w:szCs w:val="26"/>
        </w:rPr>
        <w:t xml:space="preserve"> </w:t>
      </w:r>
      <w:r w:rsidR="006F0EF7" w:rsidRPr="005C11D3">
        <w:rPr>
          <w:rFonts w:cs="Times New Roman"/>
          <w:szCs w:val="26"/>
        </w:rPr>
        <w:t>8</w:t>
      </w:r>
      <w:r w:rsidR="00AB036F" w:rsidRPr="005C11D3">
        <w:rPr>
          <w:rFonts w:cs="Times New Roman"/>
          <w:szCs w:val="26"/>
        </w:rPr>
        <w:t xml:space="preserve">. </w:t>
      </w:r>
      <w:r w:rsidR="001469DA" w:rsidRPr="005C11D3">
        <w:rPr>
          <w:rFonts w:cs="Times New Roman"/>
          <w:szCs w:val="26"/>
        </w:rPr>
        <w:t xml:space="preserve">Law enforcement should be continuously encouraged to </w:t>
      </w:r>
      <w:r w:rsidR="000034C7" w:rsidRPr="005C11D3">
        <w:rPr>
          <w:rFonts w:cs="Times New Roman"/>
          <w:szCs w:val="26"/>
        </w:rPr>
        <w:t>seek search warrants</w:t>
      </w:r>
      <w:r w:rsidR="003E037A" w:rsidRPr="005C11D3">
        <w:rPr>
          <w:rFonts w:cs="Times New Roman"/>
          <w:szCs w:val="26"/>
        </w:rPr>
        <w:t xml:space="preserve"> under all circumstances. </w:t>
      </w:r>
      <w:r w:rsidRPr="005C11D3">
        <w:rPr>
          <w:rFonts w:cs="Times New Roman"/>
          <w:szCs w:val="26"/>
        </w:rPr>
        <w:t xml:space="preserve">But </w:t>
      </w:r>
      <w:r w:rsidR="00010725" w:rsidRPr="005C11D3">
        <w:rPr>
          <w:rFonts w:cs="Times New Roman"/>
          <w:szCs w:val="26"/>
        </w:rPr>
        <w:t>“</w:t>
      </w:r>
      <w:r w:rsidR="00133209" w:rsidRPr="005C11D3">
        <w:rPr>
          <w:rFonts w:cs="Times New Roman"/>
          <w:szCs w:val="26"/>
        </w:rPr>
        <w:t>no knock</w:t>
      </w:r>
      <w:r w:rsidR="00010725" w:rsidRPr="005C11D3">
        <w:rPr>
          <w:rFonts w:cs="Times New Roman"/>
          <w:szCs w:val="26"/>
        </w:rPr>
        <w:t xml:space="preserve">” </w:t>
      </w:r>
      <w:r w:rsidR="0040277A" w:rsidRPr="005C11D3">
        <w:rPr>
          <w:rFonts w:cs="Times New Roman"/>
          <w:szCs w:val="26"/>
        </w:rPr>
        <w:t>search warrants</w:t>
      </w:r>
      <w:r w:rsidR="00010725" w:rsidRPr="005C11D3">
        <w:rPr>
          <w:rFonts w:cs="Times New Roman"/>
          <w:szCs w:val="26"/>
        </w:rPr>
        <w:t>—</w:t>
      </w:r>
      <w:r w:rsidR="0040277A" w:rsidRPr="005C11D3">
        <w:rPr>
          <w:rFonts w:cs="Times New Roman"/>
          <w:szCs w:val="26"/>
        </w:rPr>
        <w:t xml:space="preserve">executed without </w:t>
      </w:r>
      <w:r w:rsidRPr="005C11D3">
        <w:rPr>
          <w:rFonts w:cs="Times New Roman"/>
          <w:szCs w:val="26"/>
        </w:rPr>
        <w:t xml:space="preserve">law enforcement </w:t>
      </w:r>
      <w:r w:rsidR="0040277A" w:rsidRPr="005C11D3">
        <w:rPr>
          <w:rFonts w:cs="Times New Roman"/>
          <w:szCs w:val="26"/>
        </w:rPr>
        <w:t>officers first knocking and announcing their presence</w:t>
      </w:r>
      <w:r w:rsidR="00010725" w:rsidRPr="005C11D3">
        <w:rPr>
          <w:rFonts w:cs="Times New Roman"/>
          <w:szCs w:val="26"/>
        </w:rPr>
        <w:t>—</w:t>
      </w:r>
      <w:r w:rsidR="00793323" w:rsidRPr="005C11D3">
        <w:rPr>
          <w:rFonts w:cs="Times New Roman"/>
          <w:szCs w:val="26"/>
        </w:rPr>
        <w:t>undermine the common law knock-and-announce rule deeply rooted in our country’s heritage. The knock-and-announce rule exists to protect the sanctity of individual privacy rights in the home and to protect law enforcemen</w:t>
      </w:r>
      <w:r w:rsidR="00F44E30" w:rsidRPr="005C11D3">
        <w:rPr>
          <w:rFonts w:cs="Times New Roman"/>
          <w:szCs w:val="26"/>
        </w:rPr>
        <w:t>t and citizens alike.</w:t>
      </w:r>
      <w:r w:rsidR="005C11D3">
        <w:rPr>
          <w:rFonts w:cs="Times New Roman"/>
          <w:szCs w:val="26"/>
        </w:rPr>
        <w:t xml:space="preserve"> </w:t>
      </w:r>
    </w:p>
    <w:p w14:paraId="630C7D7D" w14:textId="5162593D" w:rsidR="00254C91" w:rsidRDefault="00F44E30" w:rsidP="00F44E30">
      <w:pPr>
        <w:spacing w:line="480" w:lineRule="auto"/>
        <w:ind w:firstLine="720"/>
        <w:jc w:val="both"/>
        <w:rPr>
          <w:rFonts w:cs="Times New Roman"/>
          <w:szCs w:val="26"/>
        </w:rPr>
      </w:pPr>
      <w:r w:rsidRPr="005C11D3">
        <w:rPr>
          <w:rFonts w:cs="Times New Roman"/>
          <w:szCs w:val="26"/>
        </w:rPr>
        <w:t>In particular, “</w:t>
      </w:r>
      <w:r w:rsidR="00133209" w:rsidRPr="005C11D3">
        <w:rPr>
          <w:rFonts w:cs="Times New Roman"/>
          <w:szCs w:val="26"/>
        </w:rPr>
        <w:t>no knock</w:t>
      </w:r>
      <w:r w:rsidRPr="005C11D3">
        <w:rPr>
          <w:rFonts w:cs="Times New Roman"/>
          <w:szCs w:val="26"/>
        </w:rPr>
        <w:t xml:space="preserve">” warrants can </w:t>
      </w:r>
      <w:r w:rsidR="000826DD" w:rsidRPr="005C11D3">
        <w:rPr>
          <w:rFonts w:cs="Times New Roman"/>
          <w:szCs w:val="26"/>
        </w:rPr>
        <w:t>invite tragedy by creating chaotic, confusing, and dangerous situations for civilians and law enforcement alike</w:t>
      </w:r>
      <w:r w:rsidR="004C2E1B" w:rsidRPr="005C11D3">
        <w:rPr>
          <w:rFonts w:cs="Times New Roman"/>
          <w:szCs w:val="26"/>
        </w:rPr>
        <w:t xml:space="preserve">. High profile cases across the United States and locally illustrate the dire consequences </w:t>
      </w:r>
      <w:r w:rsidR="000826DD" w:rsidRPr="005C11D3">
        <w:rPr>
          <w:rFonts w:cs="Times New Roman"/>
          <w:szCs w:val="26"/>
        </w:rPr>
        <w:t>of</w:t>
      </w:r>
      <w:r w:rsidR="004C2E1B" w:rsidRPr="005C11D3">
        <w:rPr>
          <w:rFonts w:cs="Times New Roman"/>
          <w:szCs w:val="26"/>
        </w:rPr>
        <w:t xml:space="preserve"> “</w:t>
      </w:r>
      <w:r w:rsidR="00133209" w:rsidRPr="005C11D3">
        <w:rPr>
          <w:rFonts w:cs="Times New Roman"/>
          <w:szCs w:val="26"/>
        </w:rPr>
        <w:t>no knock</w:t>
      </w:r>
      <w:r w:rsidR="004C2E1B" w:rsidRPr="005C11D3">
        <w:rPr>
          <w:rFonts w:cs="Times New Roman"/>
          <w:szCs w:val="26"/>
        </w:rPr>
        <w:t>” warrant</w:t>
      </w:r>
      <w:r w:rsidR="000826DD" w:rsidRPr="005C11D3">
        <w:rPr>
          <w:rFonts w:cs="Times New Roman"/>
          <w:szCs w:val="26"/>
        </w:rPr>
        <w:t>s.</w:t>
      </w:r>
      <w:r w:rsidR="00793323" w:rsidRPr="005C11D3">
        <w:rPr>
          <w:rStyle w:val="FootnoteReference"/>
          <w:rFonts w:cs="Times New Roman"/>
          <w:szCs w:val="26"/>
        </w:rPr>
        <w:footnoteReference w:id="1"/>
      </w:r>
      <w:r w:rsidR="000826DD" w:rsidRPr="005C11D3">
        <w:rPr>
          <w:rFonts w:cs="Times New Roman"/>
          <w:szCs w:val="26"/>
        </w:rPr>
        <w:t xml:space="preserve"> </w:t>
      </w:r>
      <w:r w:rsidR="004C2E1B" w:rsidRPr="005C11D3">
        <w:rPr>
          <w:rFonts w:cs="Times New Roman"/>
          <w:szCs w:val="26"/>
        </w:rPr>
        <w:t>“</w:t>
      </w:r>
      <w:r w:rsidR="00133209" w:rsidRPr="005C11D3">
        <w:rPr>
          <w:rFonts w:cs="Times New Roman"/>
          <w:szCs w:val="26"/>
        </w:rPr>
        <w:t>No knock</w:t>
      </w:r>
      <w:r w:rsidR="004C2E1B" w:rsidRPr="005C11D3">
        <w:rPr>
          <w:rFonts w:cs="Times New Roman"/>
          <w:szCs w:val="26"/>
        </w:rPr>
        <w:t>” warrants may be a rare occurrence</w:t>
      </w:r>
      <w:r w:rsidR="000826DD" w:rsidRPr="005C11D3">
        <w:rPr>
          <w:rFonts w:cs="Times New Roman"/>
          <w:szCs w:val="26"/>
        </w:rPr>
        <w:t xml:space="preserve"> in Arizona</w:t>
      </w:r>
      <w:r w:rsidR="004C2E1B" w:rsidRPr="005C11D3">
        <w:rPr>
          <w:rFonts w:cs="Times New Roman"/>
          <w:szCs w:val="26"/>
        </w:rPr>
        <w:t xml:space="preserve">, but “when even one situation goes badly, it can seriously impact the public’s trust in the justice system.” Sup. Ct. A.O. No. 2021-34. </w:t>
      </w:r>
      <w:r w:rsidR="00793323" w:rsidRPr="005C11D3">
        <w:rPr>
          <w:rFonts w:cs="Times New Roman"/>
          <w:szCs w:val="26"/>
        </w:rPr>
        <w:t>Because of the significant risks inherent to the execution of “</w:t>
      </w:r>
      <w:r w:rsidR="00133209" w:rsidRPr="005C11D3">
        <w:rPr>
          <w:rFonts w:cs="Times New Roman"/>
          <w:szCs w:val="26"/>
        </w:rPr>
        <w:t>no knock</w:t>
      </w:r>
      <w:r w:rsidR="00793323" w:rsidRPr="005C11D3">
        <w:rPr>
          <w:rFonts w:cs="Times New Roman"/>
          <w:szCs w:val="26"/>
        </w:rPr>
        <w:t xml:space="preserve">” warrants, limiting the authorization of such warrants to situations in which an announced entry would </w:t>
      </w:r>
      <w:r w:rsidRPr="005C11D3">
        <w:rPr>
          <w:rFonts w:cs="Times New Roman"/>
          <w:szCs w:val="26"/>
        </w:rPr>
        <w:lastRenderedPageBreak/>
        <w:t xml:space="preserve">either </w:t>
      </w:r>
      <w:r w:rsidR="00793323" w:rsidRPr="005C11D3">
        <w:rPr>
          <w:rFonts w:cs="Times New Roman"/>
          <w:szCs w:val="26"/>
        </w:rPr>
        <w:t xml:space="preserve">endanger </w:t>
      </w:r>
      <w:r w:rsidRPr="005C11D3">
        <w:rPr>
          <w:rFonts w:cs="Times New Roman"/>
          <w:szCs w:val="26"/>
        </w:rPr>
        <w:t xml:space="preserve">the </w:t>
      </w:r>
      <w:r w:rsidR="00793323" w:rsidRPr="005C11D3">
        <w:rPr>
          <w:rFonts w:cs="Times New Roman"/>
          <w:szCs w:val="26"/>
        </w:rPr>
        <w:t xml:space="preserve">safety of law enforcement and citizens or situations in which evidence will likely be destroyed is </w:t>
      </w:r>
      <w:r w:rsidRPr="005C11D3">
        <w:rPr>
          <w:rFonts w:cs="Times New Roman"/>
          <w:szCs w:val="26"/>
        </w:rPr>
        <w:t>crucial.</w:t>
      </w:r>
    </w:p>
    <w:p w14:paraId="45065ACB" w14:textId="77777777" w:rsidR="000F5794" w:rsidRPr="005C11D3" w:rsidRDefault="000F5794" w:rsidP="00F44E30">
      <w:pPr>
        <w:spacing w:line="480" w:lineRule="auto"/>
        <w:ind w:firstLine="720"/>
        <w:jc w:val="both"/>
        <w:rPr>
          <w:rFonts w:cs="Times New Roman"/>
          <w:szCs w:val="26"/>
        </w:rPr>
      </w:pPr>
    </w:p>
    <w:p w14:paraId="43A11C8F" w14:textId="5E6A6B25" w:rsidR="00CD0120" w:rsidRPr="005C11D3" w:rsidRDefault="00CD0120" w:rsidP="00F21B93">
      <w:pPr>
        <w:pStyle w:val="ListParagraph"/>
        <w:numPr>
          <w:ilvl w:val="0"/>
          <w:numId w:val="1"/>
        </w:numPr>
        <w:jc w:val="both"/>
        <w:rPr>
          <w:rFonts w:cs="Times New Roman"/>
          <w:b/>
          <w:bCs/>
          <w:szCs w:val="26"/>
          <w:u w:val="single"/>
        </w:rPr>
      </w:pPr>
      <w:r w:rsidRPr="005C11D3">
        <w:rPr>
          <w:rFonts w:cs="Times New Roman"/>
          <w:b/>
          <w:bCs/>
          <w:szCs w:val="26"/>
          <w:u w:val="single"/>
        </w:rPr>
        <w:t>The mandatory judicial findings required under proposed Rule 2.6(b) ensure law enforcement agency accountability and narrow the circumstances in which law enforcement may obtain a “</w:t>
      </w:r>
      <w:r w:rsidR="00133209" w:rsidRPr="005C11D3">
        <w:rPr>
          <w:rFonts w:cs="Times New Roman"/>
          <w:b/>
          <w:bCs/>
          <w:szCs w:val="26"/>
          <w:u w:val="single"/>
        </w:rPr>
        <w:t>no knock</w:t>
      </w:r>
      <w:r w:rsidRPr="005C11D3">
        <w:rPr>
          <w:rFonts w:cs="Times New Roman"/>
          <w:b/>
          <w:bCs/>
          <w:szCs w:val="26"/>
          <w:u w:val="single"/>
        </w:rPr>
        <w:t xml:space="preserve">” warrant. </w:t>
      </w:r>
    </w:p>
    <w:p w14:paraId="6CB5CD24" w14:textId="77777777" w:rsidR="00F21B93" w:rsidRPr="005C11D3" w:rsidRDefault="00F21B93" w:rsidP="00F21B93">
      <w:pPr>
        <w:pStyle w:val="ListParagraph"/>
        <w:ind w:left="1440"/>
        <w:jc w:val="both"/>
        <w:rPr>
          <w:rFonts w:cs="Times New Roman"/>
          <w:szCs w:val="26"/>
          <w:u w:val="single"/>
        </w:rPr>
      </w:pPr>
    </w:p>
    <w:p w14:paraId="1D44EB70" w14:textId="6440AC21" w:rsidR="00F44E30" w:rsidRPr="005C11D3" w:rsidRDefault="00F44E30" w:rsidP="00B97CE1">
      <w:pPr>
        <w:spacing w:line="480" w:lineRule="auto"/>
        <w:ind w:firstLine="720"/>
        <w:jc w:val="both"/>
        <w:rPr>
          <w:rFonts w:cs="Times New Roman"/>
          <w:szCs w:val="26"/>
        </w:rPr>
      </w:pPr>
      <w:r w:rsidRPr="005C11D3">
        <w:rPr>
          <w:rFonts w:cs="Times New Roman"/>
          <w:szCs w:val="26"/>
        </w:rPr>
        <w:t xml:space="preserve">If enacted, Rule 2.6 would establish </w:t>
      </w:r>
      <w:r w:rsidR="00B97CE1" w:rsidRPr="005C11D3">
        <w:rPr>
          <w:rFonts w:cs="Times New Roman"/>
          <w:szCs w:val="26"/>
        </w:rPr>
        <w:t>two mandatory findings a magistrate must make before authorizing a “</w:t>
      </w:r>
      <w:r w:rsidR="00133209" w:rsidRPr="005C11D3">
        <w:rPr>
          <w:rFonts w:cs="Times New Roman"/>
          <w:szCs w:val="26"/>
        </w:rPr>
        <w:t>no knock</w:t>
      </w:r>
      <w:r w:rsidR="00B97CE1" w:rsidRPr="005C11D3">
        <w:rPr>
          <w:rFonts w:cs="Times New Roman"/>
          <w:szCs w:val="26"/>
        </w:rPr>
        <w:t>” warrant, as well as a third finding to be mandatorily made only if the application for the “</w:t>
      </w:r>
      <w:r w:rsidR="00133209" w:rsidRPr="005C11D3">
        <w:rPr>
          <w:rFonts w:cs="Times New Roman"/>
          <w:szCs w:val="26"/>
        </w:rPr>
        <w:t>no knock</w:t>
      </w:r>
      <w:r w:rsidR="00B97CE1" w:rsidRPr="005C11D3">
        <w:rPr>
          <w:rFonts w:cs="Times New Roman"/>
          <w:szCs w:val="26"/>
        </w:rPr>
        <w:t>” warrant is based on the potential destruction of evidence. The purpose of these mandatory findings is to create accountability</w:t>
      </w:r>
      <w:r w:rsidR="00227491" w:rsidRPr="005C11D3">
        <w:rPr>
          <w:rFonts w:cs="Times New Roman"/>
          <w:szCs w:val="26"/>
        </w:rPr>
        <w:t xml:space="preserve"> on behalf of both law enforcement agencies and the judiciary to ensure that “</w:t>
      </w:r>
      <w:r w:rsidR="00133209" w:rsidRPr="005C11D3">
        <w:rPr>
          <w:rFonts w:cs="Times New Roman"/>
          <w:szCs w:val="26"/>
        </w:rPr>
        <w:t>no knock</w:t>
      </w:r>
      <w:r w:rsidR="00227491" w:rsidRPr="005C11D3">
        <w:rPr>
          <w:rFonts w:cs="Times New Roman"/>
          <w:szCs w:val="26"/>
        </w:rPr>
        <w:t>” warrants are being</w:t>
      </w:r>
      <w:r w:rsidR="00F776A3" w:rsidRPr="005C11D3">
        <w:rPr>
          <w:rFonts w:cs="Times New Roman"/>
          <w:szCs w:val="26"/>
        </w:rPr>
        <w:t xml:space="preserve"> requested and</w:t>
      </w:r>
      <w:r w:rsidR="00227491" w:rsidRPr="005C11D3">
        <w:rPr>
          <w:rFonts w:cs="Times New Roman"/>
          <w:szCs w:val="26"/>
        </w:rPr>
        <w:t xml:space="preserve"> authorized in only the limited, appropriate situations where a standard knock-and-announce warrant would</w:t>
      </w:r>
      <w:r w:rsidR="00F776A3" w:rsidRPr="005C11D3">
        <w:rPr>
          <w:rFonts w:cs="Times New Roman"/>
          <w:szCs w:val="26"/>
        </w:rPr>
        <w:t xml:space="preserve"> risk</w:t>
      </w:r>
      <w:r w:rsidR="00227491" w:rsidRPr="005C11D3">
        <w:rPr>
          <w:rFonts w:cs="Times New Roman"/>
          <w:szCs w:val="26"/>
        </w:rPr>
        <w:t xml:space="preserve"> the safety of law enforcement officers or citizens or where it would risk the destruction of important evidence to be seized</w:t>
      </w:r>
      <w:r w:rsidR="00B97CE1" w:rsidRPr="005C11D3">
        <w:rPr>
          <w:rFonts w:cs="Times New Roman"/>
          <w:szCs w:val="26"/>
        </w:rPr>
        <w:t xml:space="preserve">. These three </w:t>
      </w:r>
      <w:r w:rsidR="00227491" w:rsidRPr="005C11D3">
        <w:rPr>
          <w:rFonts w:cs="Times New Roman"/>
          <w:szCs w:val="26"/>
        </w:rPr>
        <w:t>juridical</w:t>
      </w:r>
      <w:r w:rsidR="00B97CE1" w:rsidRPr="005C11D3">
        <w:rPr>
          <w:rFonts w:cs="Times New Roman"/>
          <w:szCs w:val="26"/>
        </w:rPr>
        <w:t xml:space="preserve"> findings are enumerated as Rule 2.6(b)(1)—(b)(3). </w:t>
      </w:r>
    </w:p>
    <w:p w14:paraId="6A4374A4" w14:textId="7FB66C7A" w:rsidR="00BC34C4" w:rsidRPr="005C11D3" w:rsidRDefault="00F44E30" w:rsidP="00227491">
      <w:pPr>
        <w:spacing w:line="480" w:lineRule="auto"/>
        <w:ind w:firstLine="720"/>
        <w:jc w:val="both"/>
        <w:rPr>
          <w:rFonts w:cs="Times New Roman"/>
          <w:szCs w:val="26"/>
        </w:rPr>
      </w:pPr>
      <w:r w:rsidRPr="005C11D3">
        <w:rPr>
          <w:rFonts w:cs="Times New Roman"/>
          <w:szCs w:val="26"/>
        </w:rPr>
        <w:t>Rule 2.6</w:t>
      </w:r>
      <w:r w:rsidR="00BC34C4" w:rsidRPr="005C11D3">
        <w:rPr>
          <w:rFonts w:cs="Times New Roman"/>
          <w:szCs w:val="26"/>
        </w:rPr>
        <w:t>(b)(1) requi</w:t>
      </w:r>
      <w:r w:rsidR="00B97CE1" w:rsidRPr="005C11D3">
        <w:rPr>
          <w:rFonts w:cs="Times New Roman"/>
          <w:szCs w:val="26"/>
        </w:rPr>
        <w:t>res</w:t>
      </w:r>
      <w:r w:rsidR="00227491" w:rsidRPr="005C11D3">
        <w:rPr>
          <w:rFonts w:cs="Times New Roman"/>
          <w:szCs w:val="26"/>
        </w:rPr>
        <w:t xml:space="preserve"> that a search warrant application requesting the issuance of a “</w:t>
      </w:r>
      <w:r w:rsidR="00133209" w:rsidRPr="005C11D3">
        <w:rPr>
          <w:rFonts w:cs="Times New Roman"/>
          <w:szCs w:val="26"/>
        </w:rPr>
        <w:t>no knock</w:t>
      </w:r>
      <w:r w:rsidR="00227491" w:rsidRPr="005C11D3">
        <w:rPr>
          <w:rFonts w:cs="Times New Roman"/>
          <w:szCs w:val="26"/>
        </w:rPr>
        <w:t>” warrant first be approved by a supervising law enforcement officer within the requesting agency before a magistrate can authorize such a warrant.</w:t>
      </w:r>
      <w:r w:rsidR="00BC34C4" w:rsidRPr="005C11D3">
        <w:rPr>
          <w:rFonts w:cs="Times New Roman"/>
          <w:szCs w:val="26"/>
        </w:rPr>
        <w:t xml:space="preserve"> </w:t>
      </w:r>
      <w:r w:rsidR="00227491" w:rsidRPr="005C11D3">
        <w:rPr>
          <w:rFonts w:cs="Times New Roman"/>
          <w:szCs w:val="26"/>
        </w:rPr>
        <w:t>Such s</w:t>
      </w:r>
      <w:r w:rsidR="00BC34C4" w:rsidRPr="005C11D3">
        <w:rPr>
          <w:rFonts w:cs="Times New Roman"/>
          <w:szCs w:val="26"/>
        </w:rPr>
        <w:t xml:space="preserve">upervisory approval ensures that </w:t>
      </w:r>
      <w:r w:rsidR="00227491" w:rsidRPr="005C11D3">
        <w:rPr>
          <w:rFonts w:cs="Times New Roman"/>
          <w:szCs w:val="26"/>
        </w:rPr>
        <w:t>“</w:t>
      </w:r>
      <w:r w:rsidR="00133209" w:rsidRPr="005C11D3">
        <w:rPr>
          <w:rFonts w:cs="Times New Roman"/>
          <w:szCs w:val="26"/>
        </w:rPr>
        <w:t>no knock</w:t>
      </w:r>
      <w:r w:rsidR="00227491" w:rsidRPr="005C11D3">
        <w:rPr>
          <w:rFonts w:cs="Times New Roman"/>
          <w:szCs w:val="26"/>
        </w:rPr>
        <w:t>” w</w:t>
      </w:r>
      <w:r w:rsidR="00BC34C4" w:rsidRPr="005C11D3">
        <w:rPr>
          <w:rFonts w:cs="Times New Roman"/>
          <w:szCs w:val="26"/>
        </w:rPr>
        <w:t>arrants are being requested in appropriate circumstances, consistent with the agency’s internal policies. While many</w:t>
      </w:r>
      <w:r w:rsidR="00227491" w:rsidRPr="005C11D3">
        <w:rPr>
          <w:rFonts w:cs="Times New Roman"/>
          <w:szCs w:val="26"/>
        </w:rPr>
        <w:t xml:space="preserve"> law enforcement</w:t>
      </w:r>
      <w:r w:rsidR="00BC34C4" w:rsidRPr="005C11D3">
        <w:rPr>
          <w:rFonts w:cs="Times New Roman"/>
          <w:szCs w:val="26"/>
        </w:rPr>
        <w:t xml:space="preserve"> agencies already do this as a best practice, this requirement promotes a uniform supervisor approval. </w:t>
      </w:r>
      <w:r w:rsidR="00227491" w:rsidRPr="005C11D3">
        <w:rPr>
          <w:rFonts w:cs="Times New Roman"/>
          <w:szCs w:val="26"/>
        </w:rPr>
        <w:t>Under this rule, a</w:t>
      </w:r>
      <w:r w:rsidR="00BC34C4" w:rsidRPr="005C11D3">
        <w:rPr>
          <w:rFonts w:cs="Times New Roman"/>
          <w:szCs w:val="26"/>
        </w:rPr>
        <w:t xml:space="preserve">gencies still </w:t>
      </w:r>
      <w:r w:rsidR="00227491" w:rsidRPr="005C11D3">
        <w:rPr>
          <w:rFonts w:cs="Times New Roman"/>
          <w:szCs w:val="26"/>
        </w:rPr>
        <w:t>maintain</w:t>
      </w:r>
      <w:r w:rsidR="00BC34C4" w:rsidRPr="005C11D3">
        <w:rPr>
          <w:rFonts w:cs="Times New Roman"/>
          <w:szCs w:val="26"/>
        </w:rPr>
        <w:t xml:space="preserve"> considerable leeway in determining which higher-level officer is responsible for review, considering the size of the department, </w:t>
      </w:r>
      <w:r w:rsidR="00BC34C4" w:rsidRPr="005C11D3">
        <w:rPr>
          <w:rFonts w:cs="Times New Roman"/>
          <w:szCs w:val="26"/>
        </w:rPr>
        <w:lastRenderedPageBreak/>
        <w:t>organizational structure, and chain of command.</w:t>
      </w:r>
      <w:r w:rsidR="00227491" w:rsidRPr="005C11D3">
        <w:rPr>
          <w:rFonts w:cs="Times New Roman"/>
          <w:szCs w:val="26"/>
        </w:rPr>
        <w:t xml:space="preserve"> Ultimately, Rule 2.6(b)(1) e</w:t>
      </w:r>
      <w:r w:rsidR="00BC34C4" w:rsidRPr="005C11D3">
        <w:rPr>
          <w:rFonts w:cs="Times New Roman"/>
          <w:szCs w:val="26"/>
        </w:rPr>
        <w:t xml:space="preserve">nsures </w:t>
      </w:r>
      <w:r w:rsidR="00227491" w:rsidRPr="005C11D3">
        <w:rPr>
          <w:rFonts w:cs="Times New Roman"/>
          <w:szCs w:val="26"/>
        </w:rPr>
        <w:t xml:space="preserve">law enforcement </w:t>
      </w:r>
      <w:r w:rsidR="00BC34C4" w:rsidRPr="005C11D3">
        <w:rPr>
          <w:rFonts w:cs="Times New Roman"/>
          <w:szCs w:val="26"/>
        </w:rPr>
        <w:t>agency accountability across the board</w:t>
      </w:r>
      <w:r w:rsidR="0090406F" w:rsidRPr="005C11D3">
        <w:rPr>
          <w:rFonts w:cs="Times New Roman"/>
          <w:szCs w:val="26"/>
        </w:rPr>
        <w:t xml:space="preserve"> by establishing the need for a higher-level supervisory check on every “no knock” warrant request. </w:t>
      </w:r>
      <w:r w:rsidR="00BC34C4" w:rsidRPr="005C11D3">
        <w:rPr>
          <w:rFonts w:cs="Times New Roman"/>
          <w:szCs w:val="26"/>
        </w:rPr>
        <w:t xml:space="preserve"> </w:t>
      </w:r>
    </w:p>
    <w:p w14:paraId="7D63B5B4" w14:textId="236C2ED3" w:rsidR="00671BF0" w:rsidRPr="005C11D3" w:rsidRDefault="00133209" w:rsidP="00F776A3">
      <w:pPr>
        <w:spacing w:line="480" w:lineRule="auto"/>
        <w:ind w:firstLine="720"/>
        <w:jc w:val="both"/>
        <w:rPr>
          <w:rFonts w:cs="Times New Roman"/>
          <w:szCs w:val="26"/>
        </w:rPr>
      </w:pPr>
      <w:r w:rsidRPr="005C11D3">
        <w:rPr>
          <w:rFonts w:cs="Times New Roman"/>
          <w:szCs w:val="26"/>
        </w:rPr>
        <w:t>Rule 2.6</w:t>
      </w:r>
      <w:r w:rsidR="00BC34C4" w:rsidRPr="005C11D3">
        <w:rPr>
          <w:rFonts w:cs="Times New Roman"/>
          <w:szCs w:val="26"/>
        </w:rPr>
        <w:t>(b)(2) requires</w:t>
      </w:r>
      <w:r w:rsidRPr="005C11D3">
        <w:rPr>
          <w:rFonts w:cs="Times New Roman"/>
          <w:szCs w:val="26"/>
        </w:rPr>
        <w:t xml:space="preserve"> that</w:t>
      </w:r>
      <w:r w:rsidR="004C2E68" w:rsidRPr="005C11D3">
        <w:rPr>
          <w:rFonts w:cs="Times New Roman"/>
          <w:szCs w:val="26"/>
        </w:rPr>
        <w:t xml:space="preserve">, </w:t>
      </w:r>
      <w:r w:rsidRPr="005C11D3">
        <w:rPr>
          <w:rFonts w:cs="Times New Roman"/>
          <w:szCs w:val="26"/>
        </w:rPr>
        <w:t>before authorizing a “no knock” warrant</w:t>
      </w:r>
      <w:r w:rsidR="004C2E68" w:rsidRPr="005C11D3">
        <w:rPr>
          <w:rFonts w:cs="Times New Roman"/>
          <w:szCs w:val="26"/>
        </w:rPr>
        <w:t>,</w:t>
      </w:r>
      <w:r w:rsidRPr="005C11D3">
        <w:rPr>
          <w:rFonts w:cs="Times New Roman"/>
          <w:szCs w:val="26"/>
        </w:rPr>
        <w:t xml:space="preserve"> </w:t>
      </w:r>
      <w:r w:rsidR="004C2E68" w:rsidRPr="005C11D3">
        <w:rPr>
          <w:rFonts w:cs="Times New Roman"/>
          <w:szCs w:val="26"/>
        </w:rPr>
        <w:t>a</w:t>
      </w:r>
      <w:r w:rsidRPr="005C11D3">
        <w:rPr>
          <w:rFonts w:cs="Times New Roman"/>
          <w:szCs w:val="26"/>
        </w:rPr>
        <w:t xml:space="preserve"> m</w:t>
      </w:r>
      <w:r w:rsidR="004C2E68" w:rsidRPr="005C11D3">
        <w:rPr>
          <w:rFonts w:cs="Times New Roman"/>
          <w:szCs w:val="26"/>
        </w:rPr>
        <w:t>agistrate must make</w:t>
      </w:r>
      <w:r w:rsidRPr="005C11D3">
        <w:rPr>
          <w:rFonts w:cs="Times New Roman"/>
          <w:szCs w:val="26"/>
        </w:rPr>
        <w:t xml:space="preserve"> </w:t>
      </w:r>
      <w:r w:rsidR="00BC34C4" w:rsidRPr="005C11D3">
        <w:rPr>
          <w:rFonts w:cs="Times New Roman"/>
          <w:szCs w:val="26"/>
        </w:rPr>
        <w:t>an individualized finding</w:t>
      </w:r>
      <w:r w:rsidR="004C2E68" w:rsidRPr="005C11D3">
        <w:rPr>
          <w:rFonts w:cs="Times New Roman"/>
          <w:szCs w:val="26"/>
        </w:rPr>
        <w:t xml:space="preserve"> that the warrant application includes and discusses</w:t>
      </w:r>
      <w:r w:rsidR="00BC34C4" w:rsidRPr="005C11D3">
        <w:rPr>
          <w:rFonts w:cs="Times New Roman"/>
          <w:szCs w:val="26"/>
        </w:rPr>
        <w:t xml:space="preserve"> enumerated safety factors and facts known to law enforcement</w:t>
      </w:r>
      <w:r w:rsidR="004C2E68" w:rsidRPr="005C11D3">
        <w:rPr>
          <w:rFonts w:cs="Times New Roman"/>
          <w:szCs w:val="26"/>
        </w:rPr>
        <w:t xml:space="preserve"> </w:t>
      </w:r>
      <w:r w:rsidR="00BC34C4" w:rsidRPr="005C11D3">
        <w:rPr>
          <w:rFonts w:cs="Times New Roman"/>
          <w:szCs w:val="26"/>
        </w:rPr>
        <w:t xml:space="preserve">that demonstrate why an announced entry would endanger safety of any person </w:t>
      </w:r>
      <w:r w:rsidR="004C2E68" w:rsidRPr="005C11D3">
        <w:rPr>
          <w:rFonts w:cs="Times New Roman"/>
          <w:szCs w:val="26"/>
        </w:rPr>
        <w:t>or</w:t>
      </w:r>
      <w:r w:rsidR="00BC34C4" w:rsidRPr="005C11D3">
        <w:rPr>
          <w:rFonts w:cs="Times New Roman"/>
          <w:szCs w:val="26"/>
        </w:rPr>
        <w:t xml:space="preserve"> would result in destruction</w:t>
      </w:r>
      <w:r w:rsidR="004C2E68" w:rsidRPr="005C11D3">
        <w:rPr>
          <w:rFonts w:cs="Times New Roman"/>
          <w:szCs w:val="26"/>
        </w:rPr>
        <w:t xml:space="preserve"> of evidence sought</w:t>
      </w:r>
      <w:r w:rsidR="00BC34C4" w:rsidRPr="005C11D3">
        <w:rPr>
          <w:rFonts w:cs="Times New Roman"/>
          <w:szCs w:val="26"/>
        </w:rPr>
        <w:t>.</w:t>
      </w:r>
      <w:r w:rsidR="00F776A3" w:rsidRPr="005C11D3">
        <w:rPr>
          <w:rFonts w:cs="Times New Roman"/>
          <w:szCs w:val="26"/>
        </w:rPr>
        <w:t xml:space="preserve"> The purpose of this finding is to ensure that law enforcement affiants are actively identifying and detailing the particular facts and safety factors that contribute to the safety risk or likelihood of evidence destruction that an announced entry would create. It also ensures that a magistrate properly weigh and consider these facts and factors before authorizing a “no knock” warrant. Essentially, </w:t>
      </w:r>
      <w:r w:rsidR="0090406F" w:rsidRPr="005C11D3">
        <w:rPr>
          <w:rFonts w:cs="Times New Roman"/>
          <w:szCs w:val="26"/>
        </w:rPr>
        <w:t xml:space="preserve">Rule 2.6(b)(2) establishes a responsibility on behalf of both law enforcement agencies and the judiciary to take the authorization of “no knock” warrants seriously and to determine that a safety risk or evidence destruction risk necessarily exists before issuing such a warrant. </w:t>
      </w:r>
    </w:p>
    <w:p w14:paraId="3149D3E3" w14:textId="796BBF85" w:rsidR="004B3FB2" w:rsidRPr="005C11D3" w:rsidRDefault="00133209" w:rsidP="00F776A3">
      <w:pPr>
        <w:spacing w:line="480" w:lineRule="auto"/>
        <w:ind w:firstLine="720"/>
        <w:jc w:val="both"/>
        <w:rPr>
          <w:rFonts w:cs="Times New Roman"/>
          <w:szCs w:val="26"/>
        </w:rPr>
      </w:pPr>
      <w:r w:rsidRPr="005C11D3">
        <w:rPr>
          <w:rFonts w:cs="Times New Roman"/>
          <w:szCs w:val="26"/>
        </w:rPr>
        <w:t>Rule 2.6</w:t>
      </w:r>
      <w:r w:rsidR="004B3FB2" w:rsidRPr="005C11D3">
        <w:rPr>
          <w:rFonts w:cs="Times New Roman"/>
          <w:szCs w:val="26"/>
        </w:rPr>
        <w:t xml:space="preserve">(b)(3) </w:t>
      </w:r>
      <w:r w:rsidR="004C2E68" w:rsidRPr="005C11D3">
        <w:rPr>
          <w:rFonts w:cs="Times New Roman"/>
          <w:szCs w:val="26"/>
        </w:rPr>
        <w:t xml:space="preserve">requires that, if a “no knock” warrant is being sought on the basis that an announced entry would result in the potential destruction of evidence, a magistrate must make a third finding that </w:t>
      </w:r>
      <w:r w:rsidR="00F776A3" w:rsidRPr="005C11D3">
        <w:rPr>
          <w:rFonts w:cs="Times New Roman"/>
          <w:szCs w:val="26"/>
        </w:rPr>
        <w:t>necessitates</w:t>
      </w:r>
      <w:r w:rsidR="004C2E68" w:rsidRPr="005C11D3">
        <w:rPr>
          <w:rFonts w:cs="Times New Roman"/>
          <w:szCs w:val="26"/>
        </w:rPr>
        <w:t xml:space="preserve"> the warrant application explain the likelihood of the destruction of evidence </w:t>
      </w:r>
      <w:r w:rsidR="00F776A3" w:rsidRPr="005C11D3">
        <w:rPr>
          <w:rFonts w:cs="Times New Roman"/>
          <w:szCs w:val="26"/>
        </w:rPr>
        <w:t xml:space="preserve">and that the magistrate weigh the likelihood of evidence destruction against the </w:t>
      </w:r>
      <w:r w:rsidR="004B3FB2" w:rsidRPr="005C11D3">
        <w:rPr>
          <w:rFonts w:cs="Times New Roman"/>
          <w:szCs w:val="26"/>
        </w:rPr>
        <w:t xml:space="preserve">risk to personal safety associated with unannounced entry. </w:t>
      </w:r>
      <w:r w:rsidR="00F776A3" w:rsidRPr="005C11D3">
        <w:rPr>
          <w:rFonts w:cs="Times New Roman"/>
          <w:szCs w:val="26"/>
        </w:rPr>
        <w:t>Ultimately, Rule 2.6(b)(3)</w:t>
      </w:r>
      <w:r w:rsidR="004B3FB2" w:rsidRPr="005C11D3">
        <w:rPr>
          <w:rFonts w:cs="Times New Roman"/>
          <w:szCs w:val="26"/>
        </w:rPr>
        <w:t xml:space="preserve"> provides additional balancing in cases where destruction of evidence is prioritized over the preservation of life</w:t>
      </w:r>
      <w:r w:rsidR="00F776A3" w:rsidRPr="005C11D3">
        <w:rPr>
          <w:rFonts w:cs="Times New Roman"/>
          <w:szCs w:val="26"/>
        </w:rPr>
        <w:t xml:space="preserve">. </w:t>
      </w:r>
    </w:p>
    <w:p w14:paraId="07D0EF9E" w14:textId="1CF7A050" w:rsidR="00CD0120" w:rsidRPr="005C11D3" w:rsidRDefault="00CD0120" w:rsidP="00D24550">
      <w:pPr>
        <w:pStyle w:val="ListParagraph"/>
        <w:numPr>
          <w:ilvl w:val="0"/>
          <w:numId w:val="1"/>
        </w:numPr>
        <w:jc w:val="both"/>
        <w:rPr>
          <w:rFonts w:cs="Times New Roman"/>
          <w:b/>
          <w:bCs/>
          <w:szCs w:val="26"/>
          <w:u w:val="single"/>
        </w:rPr>
      </w:pPr>
      <w:r w:rsidRPr="005C11D3">
        <w:rPr>
          <w:rFonts w:cs="Times New Roman"/>
          <w:b/>
          <w:bCs/>
          <w:szCs w:val="26"/>
          <w:u w:val="single"/>
        </w:rPr>
        <w:lastRenderedPageBreak/>
        <w:t xml:space="preserve">“Safety factors” listed in </w:t>
      </w:r>
      <w:r w:rsidR="00025FD1" w:rsidRPr="005C11D3">
        <w:rPr>
          <w:rFonts w:cs="Times New Roman"/>
          <w:b/>
          <w:bCs/>
          <w:szCs w:val="26"/>
          <w:u w:val="single"/>
        </w:rPr>
        <w:t xml:space="preserve">proposed </w:t>
      </w:r>
      <w:r w:rsidRPr="005C11D3">
        <w:rPr>
          <w:rFonts w:cs="Times New Roman"/>
          <w:b/>
          <w:bCs/>
          <w:szCs w:val="26"/>
          <w:u w:val="single"/>
        </w:rPr>
        <w:t>Rule 2.6(c) adequately address safety concerns law enforcement agencies may have while also protecting the community from the dangers posed by “</w:t>
      </w:r>
      <w:r w:rsidR="00133209" w:rsidRPr="005C11D3">
        <w:rPr>
          <w:rFonts w:cs="Times New Roman"/>
          <w:b/>
          <w:bCs/>
          <w:szCs w:val="26"/>
          <w:u w:val="single"/>
        </w:rPr>
        <w:t>no knock</w:t>
      </w:r>
      <w:r w:rsidRPr="005C11D3">
        <w:rPr>
          <w:rFonts w:cs="Times New Roman"/>
          <w:b/>
          <w:bCs/>
          <w:szCs w:val="26"/>
          <w:u w:val="single"/>
        </w:rPr>
        <w:t xml:space="preserve">” warrants.  </w:t>
      </w:r>
    </w:p>
    <w:p w14:paraId="50829C25" w14:textId="77777777" w:rsidR="00D24550" w:rsidRPr="005C11D3" w:rsidRDefault="00D24550" w:rsidP="00D24550">
      <w:pPr>
        <w:pStyle w:val="ListParagraph"/>
        <w:ind w:left="1440"/>
        <w:jc w:val="both"/>
        <w:rPr>
          <w:rFonts w:cs="Times New Roman"/>
          <w:szCs w:val="26"/>
        </w:rPr>
      </w:pPr>
    </w:p>
    <w:p w14:paraId="700AB9BF" w14:textId="18445669" w:rsidR="008B19B0" w:rsidRPr="005C11D3" w:rsidRDefault="00F776A3" w:rsidP="0090406F">
      <w:pPr>
        <w:spacing w:line="480" w:lineRule="auto"/>
        <w:ind w:firstLine="720"/>
        <w:jc w:val="both"/>
        <w:rPr>
          <w:rFonts w:cs="Times New Roman"/>
          <w:szCs w:val="26"/>
        </w:rPr>
      </w:pPr>
      <w:r w:rsidRPr="005C11D3">
        <w:rPr>
          <w:rFonts w:cs="Times New Roman"/>
          <w:szCs w:val="26"/>
        </w:rPr>
        <w:t xml:space="preserve">Rule 2.6(c) enumerates the safety factors first referenced in Rule 2.6(b)(2) </w:t>
      </w:r>
      <w:r w:rsidR="0090406F" w:rsidRPr="005C11D3">
        <w:rPr>
          <w:rFonts w:cs="Times New Roman"/>
          <w:szCs w:val="26"/>
        </w:rPr>
        <w:t xml:space="preserve">that a law enforcement affiant must discuss in an application for a “no knock” warrant. Those factors are as follows: </w:t>
      </w:r>
    </w:p>
    <w:p w14:paraId="10B3C706" w14:textId="01DEA2CD" w:rsidR="0090406F" w:rsidRPr="005C11D3" w:rsidRDefault="0090406F" w:rsidP="0090406F">
      <w:pPr>
        <w:pStyle w:val="ListParagraph"/>
        <w:numPr>
          <w:ilvl w:val="0"/>
          <w:numId w:val="2"/>
        </w:numPr>
        <w:spacing w:line="480" w:lineRule="auto"/>
        <w:jc w:val="both"/>
        <w:rPr>
          <w:rFonts w:cs="Times New Roman"/>
          <w:szCs w:val="26"/>
        </w:rPr>
      </w:pPr>
      <w:r w:rsidRPr="005C11D3">
        <w:rPr>
          <w:rFonts w:cs="Times New Roman"/>
          <w:szCs w:val="26"/>
        </w:rPr>
        <w:t>Criminal activity</w:t>
      </w:r>
    </w:p>
    <w:p w14:paraId="5518359D" w14:textId="351E5449" w:rsidR="0090406F" w:rsidRPr="005C11D3" w:rsidRDefault="0090406F" w:rsidP="0090406F">
      <w:pPr>
        <w:pStyle w:val="ListParagraph"/>
        <w:numPr>
          <w:ilvl w:val="0"/>
          <w:numId w:val="2"/>
        </w:numPr>
        <w:spacing w:line="480" w:lineRule="auto"/>
        <w:jc w:val="both"/>
        <w:rPr>
          <w:rFonts w:cs="Times New Roman"/>
          <w:szCs w:val="26"/>
        </w:rPr>
      </w:pPr>
      <w:r w:rsidRPr="005C11D3">
        <w:rPr>
          <w:rFonts w:cs="Times New Roman"/>
          <w:szCs w:val="26"/>
        </w:rPr>
        <w:t>Violence</w:t>
      </w:r>
    </w:p>
    <w:p w14:paraId="67944477" w14:textId="09D53EEB" w:rsidR="0090406F" w:rsidRPr="005C11D3" w:rsidRDefault="0090406F" w:rsidP="0090406F">
      <w:pPr>
        <w:pStyle w:val="ListParagraph"/>
        <w:numPr>
          <w:ilvl w:val="0"/>
          <w:numId w:val="2"/>
        </w:numPr>
        <w:spacing w:line="480" w:lineRule="auto"/>
        <w:jc w:val="both"/>
        <w:rPr>
          <w:rFonts w:cs="Times New Roman"/>
          <w:szCs w:val="26"/>
        </w:rPr>
      </w:pPr>
      <w:r w:rsidRPr="005C11D3">
        <w:rPr>
          <w:rFonts w:cs="Times New Roman"/>
          <w:szCs w:val="26"/>
        </w:rPr>
        <w:t>Weapons</w:t>
      </w:r>
    </w:p>
    <w:p w14:paraId="54DB73FE" w14:textId="47EB80CF" w:rsidR="0090406F" w:rsidRPr="005C11D3" w:rsidRDefault="0090406F" w:rsidP="0090406F">
      <w:pPr>
        <w:pStyle w:val="ListParagraph"/>
        <w:numPr>
          <w:ilvl w:val="0"/>
          <w:numId w:val="2"/>
        </w:numPr>
        <w:spacing w:line="480" w:lineRule="auto"/>
        <w:jc w:val="both"/>
        <w:rPr>
          <w:rFonts w:cs="Times New Roman"/>
          <w:szCs w:val="26"/>
        </w:rPr>
      </w:pPr>
      <w:r w:rsidRPr="005C11D3">
        <w:rPr>
          <w:rFonts w:cs="Times New Roman"/>
          <w:szCs w:val="26"/>
        </w:rPr>
        <w:t xml:space="preserve">Security characteristics </w:t>
      </w:r>
    </w:p>
    <w:p w14:paraId="30B96555" w14:textId="0A2636E1" w:rsidR="0090406F" w:rsidRPr="005C11D3" w:rsidRDefault="0090406F" w:rsidP="0090406F">
      <w:pPr>
        <w:pStyle w:val="ListParagraph"/>
        <w:numPr>
          <w:ilvl w:val="0"/>
          <w:numId w:val="2"/>
        </w:numPr>
        <w:spacing w:line="480" w:lineRule="auto"/>
        <w:jc w:val="both"/>
        <w:rPr>
          <w:rFonts w:cs="Times New Roman"/>
          <w:szCs w:val="26"/>
        </w:rPr>
      </w:pPr>
      <w:r w:rsidRPr="005C11D3">
        <w:rPr>
          <w:rFonts w:cs="Times New Roman"/>
          <w:szCs w:val="26"/>
        </w:rPr>
        <w:t>Hostages</w:t>
      </w:r>
    </w:p>
    <w:p w14:paraId="77141739" w14:textId="406D818B" w:rsidR="0090406F" w:rsidRPr="005C11D3" w:rsidRDefault="0090406F" w:rsidP="0090406F">
      <w:pPr>
        <w:pStyle w:val="ListParagraph"/>
        <w:numPr>
          <w:ilvl w:val="0"/>
          <w:numId w:val="2"/>
        </w:numPr>
        <w:spacing w:line="480" w:lineRule="auto"/>
        <w:jc w:val="both"/>
        <w:rPr>
          <w:rFonts w:cs="Times New Roman"/>
          <w:szCs w:val="26"/>
        </w:rPr>
      </w:pPr>
      <w:r w:rsidRPr="005C11D3">
        <w:rPr>
          <w:rFonts w:cs="Times New Roman"/>
          <w:szCs w:val="26"/>
        </w:rPr>
        <w:t>Occupants</w:t>
      </w:r>
    </w:p>
    <w:p w14:paraId="440F9779" w14:textId="43394773" w:rsidR="0090406F" w:rsidRPr="005C11D3" w:rsidRDefault="0090406F" w:rsidP="0090406F">
      <w:pPr>
        <w:pStyle w:val="ListParagraph"/>
        <w:numPr>
          <w:ilvl w:val="0"/>
          <w:numId w:val="2"/>
        </w:numPr>
        <w:spacing w:line="480" w:lineRule="auto"/>
        <w:jc w:val="both"/>
        <w:rPr>
          <w:rFonts w:cs="Times New Roman"/>
          <w:szCs w:val="26"/>
        </w:rPr>
      </w:pPr>
      <w:r w:rsidRPr="005C11D3">
        <w:rPr>
          <w:rFonts w:cs="Times New Roman"/>
          <w:szCs w:val="26"/>
        </w:rPr>
        <w:t>Other information</w:t>
      </w:r>
    </w:p>
    <w:p w14:paraId="0776CE90" w14:textId="269834BC" w:rsidR="0090406F" w:rsidRPr="005C11D3" w:rsidRDefault="0090406F" w:rsidP="003B104B">
      <w:pPr>
        <w:spacing w:line="480" w:lineRule="auto"/>
        <w:ind w:firstLine="720"/>
        <w:jc w:val="both"/>
        <w:rPr>
          <w:rFonts w:cs="Times New Roman"/>
          <w:szCs w:val="26"/>
        </w:rPr>
      </w:pPr>
      <w:r w:rsidRPr="005C11D3">
        <w:rPr>
          <w:rFonts w:cs="Times New Roman"/>
          <w:szCs w:val="26"/>
        </w:rPr>
        <w:t xml:space="preserve">These safety factors </w:t>
      </w:r>
      <w:r w:rsidR="007A12A9" w:rsidRPr="005C11D3">
        <w:rPr>
          <w:rFonts w:cs="Times New Roman"/>
          <w:szCs w:val="26"/>
        </w:rPr>
        <w:t xml:space="preserve">sufficiently encompass the potential motivations for a law enforcement agency to seek a “no knock” warrant. Requiring law enforcement agencies to discuss these above factors in detail within applications for “no knock” warrants ensures that a magistrate can consider all the applicable safety concerns relevant to the search before determining the appropriateness of an unannounced entry. </w:t>
      </w:r>
    </w:p>
    <w:p w14:paraId="5ABFBF3B" w14:textId="335008B3" w:rsidR="00025FD1" w:rsidRPr="005C11D3" w:rsidRDefault="00C80F56" w:rsidP="00CD0120">
      <w:pPr>
        <w:pStyle w:val="ListParagraph"/>
        <w:numPr>
          <w:ilvl w:val="0"/>
          <w:numId w:val="1"/>
        </w:numPr>
        <w:spacing w:line="480" w:lineRule="auto"/>
        <w:jc w:val="both"/>
        <w:rPr>
          <w:rFonts w:cs="Times New Roman"/>
          <w:b/>
          <w:bCs/>
          <w:szCs w:val="26"/>
        </w:rPr>
      </w:pPr>
      <w:r w:rsidRPr="005C11D3">
        <w:rPr>
          <w:rFonts w:cs="Times New Roman"/>
          <w:b/>
          <w:bCs/>
          <w:szCs w:val="26"/>
          <w:u w:val="single"/>
        </w:rPr>
        <w:t>Nighttime service</w:t>
      </w:r>
      <w:r w:rsidR="00025FD1" w:rsidRPr="005C11D3">
        <w:rPr>
          <w:rFonts w:cs="Times New Roman"/>
          <w:b/>
          <w:bCs/>
          <w:szCs w:val="26"/>
        </w:rPr>
        <w:t>.</w:t>
      </w:r>
    </w:p>
    <w:p w14:paraId="640D1167" w14:textId="5AAB3C57" w:rsidR="008B19B0" w:rsidRPr="005C11D3" w:rsidRDefault="004C2E68" w:rsidP="004C2E68">
      <w:pPr>
        <w:spacing w:line="480" w:lineRule="auto"/>
        <w:ind w:firstLine="720"/>
        <w:jc w:val="both"/>
        <w:rPr>
          <w:rFonts w:cs="Times New Roman"/>
          <w:szCs w:val="26"/>
        </w:rPr>
      </w:pPr>
      <w:r w:rsidRPr="005C11D3">
        <w:rPr>
          <w:rFonts w:cs="Times New Roman"/>
          <w:szCs w:val="26"/>
        </w:rPr>
        <w:t xml:space="preserve">In addition to establishing mandatory findings that must be made by a magistrate before a “no knock” warrant is issued, the proposed Rule 2.6 would </w:t>
      </w:r>
      <w:r w:rsidR="0090406F" w:rsidRPr="005C11D3">
        <w:rPr>
          <w:rFonts w:cs="Times New Roman"/>
          <w:szCs w:val="26"/>
        </w:rPr>
        <w:t xml:space="preserve">establish </w:t>
      </w:r>
      <w:r w:rsidR="005F4AB5" w:rsidRPr="005C11D3">
        <w:rPr>
          <w:rFonts w:cs="Times New Roman"/>
          <w:szCs w:val="26"/>
        </w:rPr>
        <w:t xml:space="preserve">a requirement that applications for warrants to be served at nighttime contain specific facts providing good cause as to why daytime service is not reasonable or practicable. This requirement is </w:t>
      </w:r>
      <w:r w:rsidR="005F4AB5" w:rsidRPr="005C11D3">
        <w:rPr>
          <w:rFonts w:cs="Times New Roman"/>
          <w:szCs w:val="26"/>
        </w:rPr>
        <w:lastRenderedPageBreak/>
        <w:t xml:space="preserve">enumerated under Rule 2.6(d). This subsection reflects the existing statutory requirement under A.R.S. § 13-3917 that “Upon a showing of good cause therefor, the magistrate may, in his discretion insert a direction in the warrant that it may be served at any time of the day or night.” Under the statute, if the good cause showing is not made, a warrant may only be served in the daytime. Thus, Rule 2.6(f) simply serves to provide law enforcement agencies with clear direction that they must articulate the specific facts that support such a good cause finding and justify a nighttime </w:t>
      </w:r>
      <w:r w:rsidR="00515242" w:rsidRPr="005C11D3">
        <w:rPr>
          <w:rFonts w:cs="Times New Roman"/>
          <w:szCs w:val="26"/>
        </w:rPr>
        <w:t xml:space="preserve">search warrant. </w:t>
      </w:r>
    </w:p>
    <w:p w14:paraId="7F84408B" w14:textId="7636AFD1" w:rsidR="00025FD1" w:rsidRPr="005C11D3" w:rsidRDefault="00025FD1" w:rsidP="00025FD1">
      <w:pPr>
        <w:pStyle w:val="ListParagraph"/>
        <w:numPr>
          <w:ilvl w:val="0"/>
          <w:numId w:val="1"/>
        </w:numPr>
        <w:jc w:val="both"/>
        <w:rPr>
          <w:rFonts w:cs="Times New Roman"/>
          <w:b/>
          <w:bCs/>
          <w:szCs w:val="26"/>
          <w:u w:val="single"/>
        </w:rPr>
      </w:pPr>
      <w:r w:rsidRPr="005C11D3">
        <w:rPr>
          <w:rFonts w:cs="Times New Roman"/>
          <w:b/>
          <w:bCs/>
          <w:szCs w:val="26"/>
          <w:u w:val="single"/>
        </w:rPr>
        <w:t>Requiring superior courts to capture data on “</w:t>
      </w:r>
      <w:r w:rsidR="00133209" w:rsidRPr="005C11D3">
        <w:rPr>
          <w:rFonts w:cs="Times New Roman"/>
          <w:b/>
          <w:bCs/>
          <w:szCs w:val="26"/>
          <w:u w:val="single"/>
        </w:rPr>
        <w:t>no knock</w:t>
      </w:r>
      <w:r w:rsidRPr="005C11D3">
        <w:rPr>
          <w:rFonts w:cs="Times New Roman"/>
          <w:b/>
          <w:bCs/>
          <w:szCs w:val="26"/>
          <w:u w:val="single"/>
        </w:rPr>
        <w:t>” and nighttime warrants will provide critical information for the Administrative Office of the Courts to continue to refine proposed Rule 2.6</w:t>
      </w:r>
      <w:r w:rsidR="00515242" w:rsidRPr="005C11D3">
        <w:rPr>
          <w:rFonts w:cs="Times New Roman"/>
          <w:b/>
          <w:bCs/>
          <w:szCs w:val="26"/>
          <w:u w:val="single"/>
        </w:rPr>
        <w:t>.</w:t>
      </w:r>
    </w:p>
    <w:p w14:paraId="3196C2B7" w14:textId="65BD466D" w:rsidR="00025FD1" w:rsidRPr="005C11D3" w:rsidRDefault="00025FD1" w:rsidP="00025FD1">
      <w:pPr>
        <w:jc w:val="both"/>
        <w:rPr>
          <w:rFonts w:cs="Times New Roman"/>
          <w:szCs w:val="26"/>
          <w:u w:val="single"/>
        </w:rPr>
      </w:pPr>
    </w:p>
    <w:p w14:paraId="58899F99" w14:textId="45DDD6F2" w:rsidR="00CC48FA" w:rsidRPr="005C11D3" w:rsidRDefault="002F4E13" w:rsidP="00025FD1">
      <w:pPr>
        <w:spacing w:line="480" w:lineRule="auto"/>
        <w:ind w:firstLine="720"/>
        <w:jc w:val="both"/>
        <w:rPr>
          <w:rFonts w:cs="Times New Roman"/>
          <w:szCs w:val="26"/>
        </w:rPr>
      </w:pPr>
      <w:r w:rsidRPr="005C11D3">
        <w:rPr>
          <w:rFonts w:cs="Times New Roman"/>
          <w:szCs w:val="26"/>
        </w:rPr>
        <w:t>The proposed Rule 2.6 also creates requirements regarding the return on a warrant. Under Rule 2.6(e), when returning a warrant, law enforcement agencies would be required to further submit a statement of the affiant or</w:t>
      </w:r>
      <w:r w:rsidR="004232CD" w:rsidRPr="005C11D3">
        <w:rPr>
          <w:rFonts w:cs="Times New Roman"/>
          <w:szCs w:val="26"/>
        </w:rPr>
        <w:t xml:space="preserve"> of</w:t>
      </w:r>
      <w:r w:rsidRPr="005C11D3">
        <w:rPr>
          <w:rFonts w:cs="Times New Roman"/>
          <w:szCs w:val="26"/>
        </w:rPr>
        <w:t xml:space="preserve"> the officer who is returning the warrant. That statement would need to detail whether the service of the warrant involved entry into a structure and, if so, whether the warrant:</w:t>
      </w:r>
    </w:p>
    <w:p w14:paraId="35CB1986" w14:textId="137629AD" w:rsidR="002F4E13" w:rsidRPr="005C11D3" w:rsidRDefault="002F4E13" w:rsidP="004232CD">
      <w:pPr>
        <w:ind w:left="720" w:right="720"/>
        <w:jc w:val="both"/>
        <w:rPr>
          <w:rFonts w:cs="Times New Roman"/>
          <w:szCs w:val="26"/>
        </w:rPr>
      </w:pPr>
      <w:r w:rsidRPr="005C11D3">
        <w:rPr>
          <w:rFonts w:cs="Times New Roman"/>
          <w:szCs w:val="26"/>
        </w:rPr>
        <w:t xml:space="preserve">(1) authorized an unannounced </w:t>
      </w:r>
      <w:proofErr w:type="gramStart"/>
      <w:r w:rsidRPr="005C11D3">
        <w:rPr>
          <w:rFonts w:cs="Times New Roman"/>
          <w:szCs w:val="26"/>
        </w:rPr>
        <w:t>entry;</w:t>
      </w:r>
      <w:proofErr w:type="gramEnd"/>
    </w:p>
    <w:p w14:paraId="4B9EEC71" w14:textId="77777777" w:rsidR="002F4E13" w:rsidRPr="005C11D3" w:rsidRDefault="002F4E13" w:rsidP="004232CD">
      <w:pPr>
        <w:ind w:left="720" w:right="720"/>
        <w:jc w:val="both"/>
        <w:rPr>
          <w:rFonts w:cs="Times New Roman"/>
          <w:szCs w:val="26"/>
        </w:rPr>
      </w:pPr>
      <w:r w:rsidRPr="005C11D3">
        <w:rPr>
          <w:rFonts w:cs="Times New Roman"/>
          <w:szCs w:val="26"/>
        </w:rPr>
        <w:t xml:space="preserve">(2) was executed by an unannounced </w:t>
      </w:r>
      <w:proofErr w:type="gramStart"/>
      <w:r w:rsidRPr="005C11D3">
        <w:rPr>
          <w:rFonts w:cs="Times New Roman"/>
          <w:szCs w:val="26"/>
        </w:rPr>
        <w:t>entry;</w:t>
      </w:r>
      <w:proofErr w:type="gramEnd"/>
    </w:p>
    <w:p w14:paraId="2AE17ED2" w14:textId="77777777" w:rsidR="002F4E13" w:rsidRPr="005C11D3" w:rsidRDefault="002F4E13" w:rsidP="004232CD">
      <w:pPr>
        <w:ind w:left="720" w:right="720"/>
        <w:jc w:val="both"/>
        <w:rPr>
          <w:rFonts w:cs="Times New Roman"/>
          <w:szCs w:val="26"/>
        </w:rPr>
      </w:pPr>
      <w:r w:rsidRPr="005C11D3">
        <w:rPr>
          <w:rFonts w:cs="Times New Roman"/>
          <w:szCs w:val="26"/>
        </w:rPr>
        <w:t>(3) authorized nighttime service; and</w:t>
      </w:r>
    </w:p>
    <w:p w14:paraId="1B6E2D84" w14:textId="50B4D7BD" w:rsidR="002F4E13" w:rsidRPr="005C11D3" w:rsidRDefault="002F4E13" w:rsidP="004232CD">
      <w:pPr>
        <w:ind w:left="720" w:right="720"/>
        <w:jc w:val="both"/>
        <w:rPr>
          <w:rFonts w:cs="Times New Roman"/>
          <w:szCs w:val="26"/>
        </w:rPr>
      </w:pPr>
      <w:r w:rsidRPr="005C11D3">
        <w:rPr>
          <w:rFonts w:cs="Times New Roman"/>
          <w:szCs w:val="26"/>
        </w:rPr>
        <w:t>(4) was executed at night.</w:t>
      </w:r>
    </w:p>
    <w:p w14:paraId="44C5439A" w14:textId="77777777" w:rsidR="004232CD" w:rsidRPr="005C11D3" w:rsidRDefault="004232CD" w:rsidP="004232CD">
      <w:pPr>
        <w:ind w:left="1440" w:right="720"/>
        <w:jc w:val="both"/>
        <w:rPr>
          <w:rFonts w:cs="Times New Roman"/>
          <w:szCs w:val="26"/>
        </w:rPr>
      </w:pPr>
    </w:p>
    <w:p w14:paraId="6E978994" w14:textId="16FE5CF0" w:rsidR="002F4E13" w:rsidRPr="005C11D3" w:rsidRDefault="002F4E13" w:rsidP="002F4E13">
      <w:pPr>
        <w:spacing w:line="480" w:lineRule="auto"/>
        <w:ind w:right="720"/>
        <w:jc w:val="both"/>
        <w:rPr>
          <w:rFonts w:cs="Times New Roman"/>
          <w:szCs w:val="26"/>
        </w:rPr>
      </w:pPr>
      <w:r w:rsidRPr="005C11D3">
        <w:rPr>
          <w:rFonts w:cs="Times New Roman"/>
          <w:szCs w:val="26"/>
        </w:rPr>
        <w:t xml:space="preserve">Ariz. R. Crim. P. 2.6(e). </w:t>
      </w:r>
    </w:p>
    <w:p w14:paraId="63AD199F" w14:textId="2CAF34CE" w:rsidR="00515242" w:rsidRPr="005C11D3" w:rsidRDefault="0090406F" w:rsidP="00025FD1">
      <w:pPr>
        <w:spacing w:line="480" w:lineRule="auto"/>
        <w:ind w:firstLine="720"/>
        <w:jc w:val="both"/>
        <w:rPr>
          <w:rFonts w:cs="Times New Roman"/>
          <w:szCs w:val="26"/>
        </w:rPr>
      </w:pPr>
      <w:r w:rsidRPr="005C11D3">
        <w:rPr>
          <w:rFonts w:cs="Times New Roman"/>
          <w:szCs w:val="26"/>
        </w:rPr>
        <w:t xml:space="preserve">Rule 2.6(f) </w:t>
      </w:r>
      <w:r w:rsidR="00515242" w:rsidRPr="005C11D3">
        <w:rPr>
          <w:rFonts w:cs="Times New Roman"/>
          <w:szCs w:val="26"/>
        </w:rPr>
        <w:t xml:space="preserve">would additionally </w:t>
      </w:r>
      <w:r w:rsidRPr="005C11D3">
        <w:rPr>
          <w:rFonts w:cs="Times New Roman"/>
          <w:szCs w:val="26"/>
        </w:rPr>
        <w:t xml:space="preserve">require that all </w:t>
      </w:r>
      <w:r w:rsidR="00515242" w:rsidRPr="005C11D3">
        <w:rPr>
          <w:rFonts w:cs="Times New Roman"/>
          <w:szCs w:val="26"/>
        </w:rPr>
        <w:t xml:space="preserve">Arizona </w:t>
      </w:r>
      <w:r w:rsidRPr="005C11D3">
        <w:rPr>
          <w:rFonts w:cs="Times New Roman"/>
          <w:szCs w:val="26"/>
        </w:rPr>
        <w:t xml:space="preserve">courts </w:t>
      </w:r>
      <w:r w:rsidR="00515242" w:rsidRPr="005C11D3">
        <w:rPr>
          <w:rFonts w:cs="Times New Roman"/>
          <w:szCs w:val="26"/>
        </w:rPr>
        <w:t>collect data on the following:</w:t>
      </w:r>
    </w:p>
    <w:p w14:paraId="2D166FF7" w14:textId="4ECA1460" w:rsidR="00515242" w:rsidRPr="005C11D3" w:rsidRDefault="00515242" w:rsidP="004232CD">
      <w:pPr>
        <w:ind w:left="720" w:right="720"/>
        <w:jc w:val="both"/>
        <w:rPr>
          <w:rFonts w:cs="Times New Roman"/>
          <w:szCs w:val="26"/>
        </w:rPr>
      </w:pPr>
      <w:r w:rsidRPr="005C11D3">
        <w:rPr>
          <w:rFonts w:cs="Times New Roman"/>
          <w:szCs w:val="26"/>
        </w:rPr>
        <w:t xml:space="preserve">(1) the total number of </w:t>
      </w:r>
      <w:proofErr w:type="gramStart"/>
      <w:r w:rsidRPr="005C11D3">
        <w:rPr>
          <w:rFonts w:cs="Times New Roman"/>
          <w:szCs w:val="26"/>
        </w:rPr>
        <w:t>search</w:t>
      </w:r>
      <w:proofErr w:type="gramEnd"/>
      <w:r w:rsidRPr="005C11D3">
        <w:rPr>
          <w:rFonts w:cs="Times New Roman"/>
          <w:szCs w:val="26"/>
        </w:rPr>
        <w:t xml:space="preserve"> warrants the court authorized during the reporting period, and</w:t>
      </w:r>
    </w:p>
    <w:p w14:paraId="16923446" w14:textId="10E3568F" w:rsidR="00515242" w:rsidRPr="005C11D3" w:rsidRDefault="00515242" w:rsidP="004232CD">
      <w:pPr>
        <w:ind w:left="720" w:right="720"/>
        <w:jc w:val="both"/>
        <w:rPr>
          <w:rFonts w:cs="Times New Roman"/>
          <w:szCs w:val="26"/>
        </w:rPr>
      </w:pPr>
      <w:r w:rsidRPr="005C11D3">
        <w:rPr>
          <w:rFonts w:cs="Times New Roman"/>
          <w:szCs w:val="26"/>
        </w:rPr>
        <w:t>(2) the total number of warrants for each of the categories identified in the statements submitted to the court under section (e).</w:t>
      </w:r>
    </w:p>
    <w:p w14:paraId="7C7C6F02" w14:textId="77777777" w:rsidR="004232CD" w:rsidRPr="005C11D3" w:rsidRDefault="004232CD" w:rsidP="004232CD">
      <w:pPr>
        <w:ind w:left="1440" w:right="720"/>
        <w:jc w:val="both"/>
        <w:rPr>
          <w:rFonts w:cs="Times New Roman"/>
          <w:szCs w:val="26"/>
        </w:rPr>
      </w:pPr>
    </w:p>
    <w:p w14:paraId="17B04BBD" w14:textId="4CBB8F5F" w:rsidR="00025FD1" w:rsidRPr="005C11D3" w:rsidRDefault="00515242" w:rsidP="004232CD">
      <w:pPr>
        <w:spacing w:line="480" w:lineRule="auto"/>
        <w:ind w:right="720"/>
        <w:jc w:val="both"/>
        <w:rPr>
          <w:rFonts w:cs="Times New Roman"/>
          <w:szCs w:val="26"/>
        </w:rPr>
      </w:pPr>
      <w:r w:rsidRPr="005C11D3">
        <w:rPr>
          <w:rFonts w:cs="Times New Roman"/>
          <w:szCs w:val="26"/>
        </w:rPr>
        <w:t xml:space="preserve">Ariz. R. Crim. P. 2.6(f). </w:t>
      </w:r>
      <w:r w:rsidR="00025FD1" w:rsidRPr="005C11D3">
        <w:rPr>
          <w:rFonts w:cs="Times New Roman"/>
          <w:szCs w:val="26"/>
        </w:rPr>
        <w:t>This provision will impose no additional burden to the Maricopa County Superior Court, as this data collection already occurs. It is important, however, that this information be obtained from each county for the Administrative Office of the Courts to analyze. Data collection will empower the Administrative Office of the Courts and criminal justice stakeholders to evaluate the efficacy of Rule 2.6 and refine Rule 2.6 as needed.</w:t>
      </w:r>
    </w:p>
    <w:p w14:paraId="25C3AD77" w14:textId="6E3A69C8" w:rsidR="00025FD1" w:rsidRPr="005C11D3" w:rsidRDefault="00025FD1" w:rsidP="00025FD1">
      <w:pPr>
        <w:pStyle w:val="ListParagraph"/>
        <w:numPr>
          <w:ilvl w:val="0"/>
          <w:numId w:val="1"/>
        </w:numPr>
        <w:jc w:val="both"/>
        <w:rPr>
          <w:rFonts w:cs="Times New Roman"/>
          <w:b/>
          <w:bCs/>
          <w:szCs w:val="26"/>
          <w:u w:val="single"/>
        </w:rPr>
      </w:pPr>
      <w:r w:rsidRPr="005C11D3">
        <w:rPr>
          <w:rFonts w:cs="Times New Roman"/>
          <w:b/>
          <w:bCs/>
          <w:szCs w:val="26"/>
          <w:u w:val="single"/>
        </w:rPr>
        <w:t>Conclusion</w:t>
      </w:r>
    </w:p>
    <w:p w14:paraId="51F91E88" w14:textId="77777777" w:rsidR="0040277A" w:rsidRPr="005C11D3" w:rsidRDefault="0040277A" w:rsidP="0040277A">
      <w:pPr>
        <w:jc w:val="both"/>
        <w:rPr>
          <w:rFonts w:cs="Times New Roman"/>
          <w:szCs w:val="26"/>
          <w:u w:val="single"/>
        </w:rPr>
      </w:pPr>
    </w:p>
    <w:p w14:paraId="3B80AE51" w14:textId="330E7569" w:rsidR="0040277A" w:rsidRPr="005C11D3" w:rsidRDefault="0040277A" w:rsidP="0040277A">
      <w:pPr>
        <w:spacing w:line="480" w:lineRule="auto"/>
        <w:ind w:firstLine="720"/>
        <w:jc w:val="both"/>
        <w:rPr>
          <w:rFonts w:cs="Times New Roman"/>
          <w:szCs w:val="26"/>
        </w:rPr>
      </w:pPr>
      <w:r w:rsidRPr="005C11D3">
        <w:rPr>
          <w:rFonts w:cs="Times New Roman"/>
          <w:szCs w:val="26"/>
        </w:rPr>
        <w:t>For these reasons, the directors of indigent defen</w:t>
      </w:r>
      <w:r w:rsidR="0040707F">
        <w:rPr>
          <w:rFonts w:cs="Times New Roman"/>
          <w:szCs w:val="26"/>
        </w:rPr>
        <w:t>der</w:t>
      </w:r>
      <w:r w:rsidR="00FD0F2C">
        <w:rPr>
          <w:rFonts w:cs="Times New Roman"/>
          <w:szCs w:val="26"/>
        </w:rPr>
        <w:t xml:space="preserve"> </w:t>
      </w:r>
      <w:r w:rsidRPr="005C11D3">
        <w:rPr>
          <w:rFonts w:cs="Times New Roman"/>
          <w:szCs w:val="26"/>
        </w:rPr>
        <w:t xml:space="preserve">agencies of Maricopa County support the adoption of </w:t>
      </w:r>
      <w:r w:rsidR="004232CD" w:rsidRPr="005C11D3">
        <w:rPr>
          <w:rFonts w:cs="Times New Roman"/>
          <w:szCs w:val="26"/>
        </w:rPr>
        <w:t>the p</w:t>
      </w:r>
      <w:r w:rsidRPr="005C11D3">
        <w:rPr>
          <w:rFonts w:cs="Times New Roman"/>
          <w:szCs w:val="26"/>
        </w:rPr>
        <w:t xml:space="preserve">roposed Rule 2.6, Ariz. R. Crim. P. </w:t>
      </w:r>
      <w:r w:rsidR="002F4E13" w:rsidRPr="005C11D3">
        <w:rPr>
          <w:rFonts w:cs="Times New Roman"/>
          <w:szCs w:val="26"/>
        </w:rPr>
        <w:t xml:space="preserve">Enacting </w:t>
      </w:r>
      <w:r w:rsidR="00ED3BBC" w:rsidRPr="005C11D3">
        <w:rPr>
          <w:rFonts w:cs="Times New Roman"/>
          <w:szCs w:val="26"/>
        </w:rPr>
        <w:t xml:space="preserve">Rule 2.6 would create </w:t>
      </w:r>
      <w:r w:rsidR="00D836BD" w:rsidRPr="005C11D3">
        <w:rPr>
          <w:rFonts w:cs="Times New Roman"/>
          <w:szCs w:val="26"/>
        </w:rPr>
        <w:t>vital</w:t>
      </w:r>
      <w:r w:rsidR="00ED3BBC" w:rsidRPr="005C11D3">
        <w:rPr>
          <w:rFonts w:cs="Times New Roman"/>
          <w:szCs w:val="26"/>
        </w:rPr>
        <w:t xml:space="preserve"> </w:t>
      </w:r>
      <w:r w:rsidR="002F4E13" w:rsidRPr="005C11D3">
        <w:rPr>
          <w:rFonts w:cs="Times New Roman"/>
          <w:szCs w:val="26"/>
        </w:rPr>
        <w:t>procedural safeguards</w:t>
      </w:r>
      <w:r w:rsidR="00ED3BBC" w:rsidRPr="005C11D3">
        <w:rPr>
          <w:rFonts w:cs="Times New Roman"/>
          <w:szCs w:val="26"/>
        </w:rPr>
        <w:t xml:space="preserve"> regarding the authorization of “no knock” warrants</w:t>
      </w:r>
      <w:r w:rsidR="00D836BD" w:rsidRPr="005C11D3">
        <w:rPr>
          <w:rFonts w:cs="Times New Roman"/>
          <w:szCs w:val="26"/>
        </w:rPr>
        <w:t xml:space="preserve"> by</w:t>
      </w:r>
      <w:r w:rsidR="002F4E13" w:rsidRPr="005C11D3">
        <w:rPr>
          <w:rFonts w:cs="Times New Roman"/>
          <w:szCs w:val="26"/>
        </w:rPr>
        <w:t xml:space="preserve"> </w:t>
      </w:r>
      <w:r w:rsidR="00D836BD" w:rsidRPr="005C11D3">
        <w:rPr>
          <w:rFonts w:cs="Times New Roman"/>
          <w:szCs w:val="26"/>
        </w:rPr>
        <w:t xml:space="preserve">not only </w:t>
      </w:r>
      <w:r w:rsidR="002F4E13" w:rsidRPr="005C11D3">
        <w:rPr>
          <w:rFonts w:cs="Times New Roman"/>
          <w:szCs w:val="26"/>
        </w:rPr>
        <w:t xml:space="preserve">requiring law enforcement to </w:t>
      </w:r>
      <w:r w:rsidR="00D836BD" w:rsidRPr="005C11D3">
        <w:rPr>
          <w:rFonts w:cs="Times New Roman"/>
          <w:szCs w:val="26"/>
        </w:rPr>
        <w:t xml:space="preserve">sufficiently detail </w:t>
      </w:r>
      <w:r w:rsidR="002F4E13" w:rsidRPr="005C11D3">
        <w:rPr>
          <w:rFonts w:cs="Times New Roman"/>
          <w:szCs w:val="26"/>
        </w:rPr>
        <w:t xml:space="preserve">the necessity of a “no knock” warrant to a </w:t>
      </w:r>
      <w:r w:rsidR="00D836BD" w:rsidRPr="005C11D3">
        <w:rPr>
          <w:rFonts w:cs="Times New Roman"/>
          <w:szCs w:val="26"/>
        </w:rPr>
        <w:t xml:space="preserve">magistrate, but also ensuring that magistrates make requisite findings regarding the need for such a warrant. Ultimately, this </w:t>
      </w:r>
      <w:r w:rsidR="002F4E13" w:rsidRPr="005C11D3">
        <w:rPr>
          <w:rFonts w:cs="Times New Roman"/>
          <w:szCs w:val="26"/>
        </w:rPr>
        <w:t>will</w:t>
      </w:r>
      <w:r w:rsidR="00D836BD" w:rsidRPr="005C11D3">
        <w:rPr>
          <w:rFonts w:cs="Times New Roman"/>
          <w:szCs w:val="26"/>
        </w:rPr>
        <w:t xml:space="preserve"> serve to</w:t>
      </w:r>
      <w:r w:rsidR="002F4E13" w:rsidRPr="005C11D3">
        <w:rPr>
          <w:rFonts w:cs="Times New Roman"/>
          <w:szCs w:val="26"/>
        </w:rPr>
        <w:t xml:space="preserve"> promote the safety of our clients, law enforcement, and the community at large.</w:t>
      </w:r>
    </w:p>
    <w:p w14:paraId="6231E7BD" w14:textId="43800100" w:rsidR="0040277A" w:rsidRPr="005C11D3" w:rsidRDefault="0040277A" w:rsidP="00540181">
      <w:pPr>
        <w:spacing w:line="480" w:lineRule="auto"/>
        <w:ind w:left="720" w:firstLine="720"/>
        <w:jc w:val="both"/>
        <w:rPr>
          <w:rFonts w:cs="Times New Roman"/>
          <w:szCs w:val="26"/>
        </w:rPr>
      </w:pPr>
      <w:r w:rsidRPr="005C11D3">
        <w:rPr>
          <w:rFonts w:cs="Times New Roman"/>
          <w:szCs w:val="26"/>
        </w:rPr>
        <w:t xml:space="preserve">DATED this </w:t>
      </w:r>
      <w:r w:rsidR="00C409CE">
        <w:rPr>
          <w:rFonts w:cs="Times New Roman"/>
          <w:szCs w:val="26"/>
        </w:rPr>
        <w:t>25</w:t>
      </w:r>
      <w:r w:rsidR="00C409CE" w:rsidRPr="00C409CE">
        <w:rPr>
          <w:rFonts w:cs="Times New Roman"/>
          <w:szCs w:val="26"/>
          <w:vertAlign w:val="superscript"/>
        </w:rPr>
        <w:t>th</w:t>
      </w:r>
      <w:r w:rsidR="00C409CE">
        <w:rPr>
          <w:rFonts w:cs="Times New Roman"/>
          <w:szCs w:val="26"/>
        </w:rPr>
        <w:t xml:space="preserve"> </w:t>
      </w:r>
      <w:r w:rsidRPr="005C11D3">
        <w:rPr>
          <w:rFonts w:cs="Times New Roman"/>
          <w:szCs w:val="26"/>
        </w:rPr>
        <w:t xml:space="preserve">day of April 2022. </w:t>
      </w:r>
      <w:r w:rsidRPr="005C11D3">
        <w:rPr>
          <w:rFonts w:cs="Times New Roman"/>
          <w:szCs w:val="26"/>
        </w:rPr>
        <w:tab/>
      </w:r>
      <w:r w:rsidRPr="005C11D3">
        <w:rPr>
          <w:rFonts w:cs="Times New Roman"/>
          <w:szCs w:val="26"/>
        </w:rPr>
        <w:tab/>
      </w:r>
      <w:r w:rsidRPr="005C11D3">
        <w:rPr>
          <w:rFonts w:cs="Times New Roman"/>
          <w:szCs w:val="26"/>
        </w:rPr>
        <w:tab/>
      </w:r>
    </w:p>
    <w:p w14:paraId="4CCCA2AB" w14:textId="77777777" w:rsidR="00EA6C75" w:rsidRPr="005C11D3" w:rsidRDefault="00EA6C75" w:rsidP="00EA6C75">
      <w:pPr>
        <w:pStyle w:val="Default"/>
        <w:spacing w:after="160"/>
        <w:ind w:left="3600"/>
        <w:rPr>
          <w:sz w:val="26"/>
          <w:szCs w:val="26"/>
        </w:rPr>
      </w:pPr>
      <w:r w:rsidRPr="005C11D3">
        <w:rPr>
          <w:sz w:val="26"/>
          <w:szCs w:val="26"/>
          <w:u w:val="single"/>
        </w:rPr>
        <w:t xml:space="preserve">//s// </w:t>
      </w:r>
      <w:r>
        <w:rPr>
          <w:sz w:val="26"/>
          <w:szCs w:val="26"/>
          <w:u w:val="single"/>
        </w:rPr>
        <w:t>Rosemarie Pena-Lynch</w:t>
      </w:r>
      <w:r w:rsidRPr="005C11D3">
        <w:rPr>
          <w:sz w:val="26"/>
          <w:szCs w:val="26"/>
          <w:u w:val="single"/>
        </w:rPr>
        <w:t xml:space="preserve"> </w:t>
      </w:r>
    </w:p>
    <w:p w14:paraId="618955D5" w14:textId="77777777" w:rsidR="00EA6C75" w:rsidRPr="005C11D3" w:rsidRDefault="00EA6C75" w:rsidP="00EA6C75">
      <w:pPr>
        <w:pStyle w:val="Default"/>
        <w:ind w:left="3600"/>
        <w:rPr>
          <w:sz w:val="26"/>
          <w:szCs w:val="26"/>
        </w:rPr>
      </w:pPr>
      <w:r>
        <w:rPr>
          <w:sz w:val="26"/>
          <w:szCs w:val="26"/>
        </w:rPr>
        <w:t>Rosemarie Pena-Lynch</w:t>
      </w:r>
    </w:p>
    <w:p w14:paraId="4C16E7BD" w14:textId="2D40705A" w:rsidR="00306022" w:rsidRDefault="00EA6C75" w:rsidP="00EA6C75">
      <w:pPr>
        <w:pStyle w:val="Default"/>
        <w:ind w:left="3600"/>
        <w:rPr>
          <w:sz w:val="26"/>
          <w:szCs w:val="26"/>
        </w:rPr>
      </w:pPr>
      <w:r w:rsidRPr="005C11D3">
        <w:rPr>
          <w:sz w:val="26"/>
          <w:szCs w:val="26"/>
        </w:rPr>
        <w:t xml:space="preserve">Director, </w:t>
      </w:r>
      <w:r w:rsidR="00306022">
        <w:rPr>
          <w:sz w:val="26"/>
          <w:szCs w:val="26"/>
        </w:rPr>
        <w:t>Mcpa. Office of Public Defense Services</w:t>
      </w:r>
    </w:p>
    <w:p w14:paraId="050E6E4B" w14:textId="486D7D5E" w:rsidR="00EA6C75" w:rsidRPr="005C11D3" w:rsidRDefault="00EA6C75" w:rsidP="00EA6C75">
      <w:pPr>
        <w:pStyle w:val="Default"/>
        <w:ind w:left="3600"/>
        <w:rPr>
          <w:sz w:val="26"/>
          <w:szCs w:val="26"/>
        </w:rPr>
      </w:pPr>
      <w:r w:rsidRPr="005C11D3">
        <w:rPr>
          <w:sz w:val="26"/>
          <w:szCs w:val="26"/>
        </w:rPr>
        <w:t>AZ Bar No.</w:t>
      </w:r>
      <w:r w:rsidR="000F4BAB">
        <w:rPr>
          <w:sz w:val="26"/>
          <w:szCs w:val="26"/>
        </w:rPr>
        <w:t xml:space="preserve"> 23400</w:t>
      </w:r>
    </w:p>
    <w:p w14:paraId="10A518F9" w14:textId="77777777" w:rsidR="00EA6C75" w:rsidRDefault="00EA6C75" w:rsidP="00D836BD">
      <w:pPr>
        <w:pStyle w:val="Default"/>
        <w:spacing w:after="160"/>
        <w:ind w:left="3600"/>
        <w:rPr>
          <w:sz w:val="26"/>
          <w:szCs w:val="26"/>
          <w:u w:val="single"/>
        </w:rPr>
      </w:pPr>
    </w:p>
    <w:p w14:paraId="7CB09F58" w14:textId="7DE68C66" w:rsidR="00D836BD" w:rsidRPr="005C11D3" w:rsidRDefault="00D836BD" w:rsidP="00D836BD">
      <w:pPr>
        <w:pStyle w:val="Default"/>
        <w:spacing w:after="160"/>
        <w:ind w:left="3600"/>
        <w:rPr>
          <w:sz w:val="26"/>
          <w:szCs w:val="26"/>
        </w:rPr>
      </w:pPr>
      <w:r w:rsidRPr="005C11D3">
        <w:rPr>
          <w:sz w:val="26"/>
          <w:szCs w:val="26"/>
          <w:u w:val="single"/>
        </w:rPr>
        <w:t xml:space="preserve">//s// Gary Kula </w:t>
      </w:r>
    </w:p>
    <w:p w14:paraId="1EDDEC6E" w14:textId="77777777" w:rsidR="00D836BD" w:rsidRPr="005C11D3" w:rsidRDefault="00D836BD" w:rsidP="00D836BD">
      <w:pPr>
        <w:pStyle w:val="Default"/>
        <w:ind w:left="3600"/>
        <w:rPr>
          <w:sz w:val="26"/>
          <w:szCs w:val="26"/>
        </w:rPr>
      </w:pPr>
      <w:r w:rsidRPr="005C11D3">
        <w:rPr>
          <w:sz w:val="26"/>
          <w:szCs w:val="26"/>
        </w:rPr>
        <w:t xml:space="preserve">Gary Kula </w:t>
      </w:r>
    </w:p>
    <w:p w14:paraId="42C3FC5F" w14:textId="2B91BC6D" w:rsidR="00D836BD" w:rsidRPr="005C11D3" w:rsidRDefault="00D836BD" w:rsidP="00D836BD">
      <w:pPr>
        <w:pStyle w:val="Default"/>
        <w:ind w:left="3600"/>
        <w:rPr>
          <w:sz w:val="26"/>
          <w:szCs w:val="26"/>
        </w:rPr>
      </w:pPr>
      <w:r w:rsidRPr="005C11D3">
        <w:rPr>
          <w:sz w:val="26"/>
          <w:szCs w:val="26"/>
        </w:rPr>
        <w:t>Director, M</w:t>
      </w:r>
      <w:r w:rsidR="00306022">
        <w:rPr>
          <w:sz w:val="26"/>
          <w:szCs w:val="26"/>
        </w:rPr>
        <w:t>cpa</w:t>
      </w:r>
      <w:r w:rsidR="00BD271D">
        <w:rPr>
          <w:sz w:val="26"/>
          <w:szCs w:val="26"/>
        </w:rPr>
        <w:t>.</w:t>
      </w:r>
      <w:r w:rsidRPr="005C11D3">
        <w:rPr>
          <w:sz w:val="26"/>
          <w:szCs w:val="26"/>
        </w:rPr>
        <w:t xml:space="preserve"> Public Defender’s Office </w:t>
      </w:r>
    </w:p>
    <w:p w14:paraId="73B59C21" w14:textId="77777777" w:rsidR="00D836BD" w:rsidRPr="005C11D3" w:rsidRDefault="00D836BD" w:rsidP="00D836BD">
      <w:pPr>
        <w:pStyle w:val="Default"/>
        <w:ind w:left="3600"/>
        <w:rPr>
          <w:sz w:val="26"/>
          <w:szCs w:val="26"/>
        </w:rPr>
      </w:pPr>
      <w:r w:rsidRPr="005C11D3">
        <w:rPr>
          <w:sz w:val="26"/>
          <w:szCs w:val="26"/>
        </w:rPr>
        <w:t xml:space="preserve">AZ Bar No. 012507 </w:t>
      </w:r>
    </w:p>
    <w:p w14:paraId="30098697" w14:textId="77777777" w:rsidR="00D836BD" w:rsidRPr="005C11D3" w:rsidRDefault="00D836BD" w:rsidP="00D836BD">
      <w:pPr>
        <w:pStyle w:val="Default"/>
        <w:spacing w:after="160"/>
        <w:ind w:left="3600"/>
        <w:rPr>
          <w:sz w:val="26"/>
          <w:szCs w:val="26"/>
          <w:u w:val="single"/>
        </w:rPr>
      </w:pPr>
    </w:p>
    <w:p w14:paraId="1933931B" w14:textId="31ABD7AC" w:rsidR="00D836BD" w:rsidRPr="005C11D3" w:rsidRDefault="00D836BD" w:rsidP="00D836BD">
      <w:pPr>
        <w:pStyle w:val="Default"/>
        <w:spacing w:after="160"/>
        <w:ind w:left="3600"/>
        <w:rPr>
          <w:sz w:val="26"/>
          <w:szCs w:val="26"/>
        </w:rPr>
      </w:pPr>
      <w:r w:rsidRPr="005C11D3">
        <w:rPr>
          <w:sz w:val="26"/>
          <w:szCs w:val="26"/>
          <w:u w:val="single"/>
        </w:rPr>
        <w:t xml:space="preserve">//s// </w:t>
      </w:r>
      <w:r w:rsidR="00540181">
        <w:rPr>
          <w:sz w:val="26"/>
          <w:szCs w:val="26"/>
          <w:u w:val="single"/>
        </w:rPr>
        <w:t>Steve Koestner</w:t>
      </w:r>
      <w:r w:rsidRPr="005C11D3">
        <w:rPr>
          <w:sz w:val="26"/>
          <w:szCs w:val="26"/>
          <w:u w:val="single"/>
        </w:rPr>
        <w:t xml:space="preserve"> </w:t>
      </w:r>
    </w:p>
    <w:p w14:paraId="6A9F22AF" w14:textId="1ABCF492" w:rsidR="00D836BD" w:rsidRPr="005C11D3" w:rsidRDefault="00540181" w:rsidP="00D836BD">
      <w:pPr>
        <w:pStyle w:val="Default"/>
        <w:ind w:left="3600"/>
        <w:rPr>
          <w:sz w:val="26"/>
          <w:szCs w:val="26"/>
        </w:rPr>
      </w:pPr>
      <w:r>
        <w:rPr>
          <w:sz w:val="26"/>
          <w:szCs w:val="26"/>
        </w:rPr>
        <w:t>Steve Koes</w:t>
      </w:r>
      <w:r w:rsidR="00281CD9">
        <w:rPr>
          <w:sz w:val="26"/>
          <w:szCs w:val="26"/>
        </w:rPr>
        <w:t>tner</w:t>
      </w:r>
    </w:p>
    <w:p w14:paraId="76029665" w14:textId="77777777" w:rsidR="00D836BD" w:rsidRPr="005C11D3" w:rsidRDefault="00D836BD" w:rsidP="00D836BD">
      <w:pPr>
        <w:pStyle w:val="Default"/>
        <w:ind w:left="3600"/>
        <w:rPr>
          <w:sz w:val="26"/>
          <w:szCs w:val="26"/>
        </w:rPr>
      </w:pPr>
      <w:r w:rsidRPr="005C11D3">
        <w:rPr>
          <w:sz w:val="26"/>
          <w:szCs w:val="26"/>
        </w:rPr>
        <w:t xml:space="preserve">Director, Maricopa County Legal Advocate’s Office </w:t>
      </w:r>
    </w:p>
    <w:p w14:paraId="5C50A670" w14:textId="30B8CFB1" w:rsidR="00D836BD" w:rsidRPr="005C11D3" w:rsidRDefault="00D836BD" w:rsidP="00D836BD">
      <w:pPr>
        <w:pStyle w:val="Default"/>
        <w:ind w:left="3600"/>
        <w:rPr>
          <w:sz w:val="26"/>
          <w:szCs w:val="26"/>
        </w:rPr>
      </w:pPr>
      <w:r w:rsidRPr="005C11D3">
        <w:rPr>
          <w:sz w:val="26"/>
          <w:szCs w:val="26"/>
        </w:rPr>
        <w:t>AZ Bar No</w:t>
      </w:r>
      <w:r w:rsidR="00600A29">
        <w:rPr>
          <w:sz w:val="26"/>
          <w:szCs w:val="26"/>
        </w:rPr>
        <w:t xml:space="preserve">. </w:t>
      </w:r>
      <w:r w:rsidR="008350EB">
        <w:rPr>
          <w:szCs w:val="26"/>
        </w:rPr>
        <w:t>0</w:t>
      </w:r>
      <w:r w:rsidR="009A1CDD">
        <w:rPr>
          <w:szCs w:val="26"/>
        </w:rPr>
        <w:t>11566</w:t>
      </w:r>
    </w:p>
    <w:p w14:paraId="10DEA381" w14:textId="77777777" w:rsidR="00D836BD" w:rsidRPr="005C11D3" w:rsidRDefault="00D836BD" w:rsidP="00D836BD">
      <w:pPr>
        <w:pStyle w:val="Default"/>
        <w:spacing w:after="160"/>
        <w:ind w:left="3600"/>
        <w:rPr>
          <w:sz w:val="26"/>
          <w:szCs w:val="26"/>
          <w:u w:val="single"/>
        </w:rPr>
      </w:pPr>
    </w:p>
    <w:p w14:paraId="1D0DF95F" w14:textId="3C5B2D1E" w:rsidR="00D836BD" w:rsidRPr="005C11D3" w:rsidRDefault="00D836BD" w:rsidP="00D836BD">
      <w:pPr>
        <w:pStyle w:val="Default"/>
        <w:spacing w:after="160"/>
        <w:ind w:left="3600"/>
        <w:rPr>
          <w:sz w:val="26"/>
          <w:szCs w:val="26"/>
        </w:rPr>
      </w:pPr>
      <w:r w:rsidRPr="005C11D3">
        <w:rPr>
          <w:sz w:val="26"/>
          <w:szCs w:val="26"/>
          <w:u w:val="single"/>
        </w:rPr>
        <w:lastRenderedPageBreak/>
        <w:t xml:space="preserve">//s// Sherri McGuire Lawson </w:t>
      </w:r>
    </w:p>
    <w:p w14:paraId="3C246D74" w14:textId="77777777" w:rsidR="00D836BD" w:rsidRPr="005C11D3" w:rsidRDefault="00D836BD" w:rsidP="00D836BD">
      <w:pPr>
        <w:pStyle w:val="Default"/>
        <w:ind w:left="3600"/>
        <w:rPr>
          <w:sz w:val="26"/>
          <w:szCs w:val="26"/>
        </w:rPr>
      </w:pPr>
      <w:r w:rsidRPr="005C11D3">
        <w:rPr>
          <w:sz w:val="26"/>
          <w:szCs w:val="26"/>
        </w:rPr>
        <w:t xml:space="preserve">Sherri McGuire Lawson </w:t>
      </w:r>
    </w:p>
    <w:p w14:paraId="5C87E0F7" w14:textId="77777777" w:rsidR="00D836BD" w:rsidRPr="005C11D3" w:rsidRDefault="00D836BD" w:rsidP="00D836BD">
      <w:pPr>
        <w:pStyle w:val="Default"/>
        <w:ind w:left="3600"/>
        <w:rPr>
          <w:sz w:val="26"/>
          <w:szCs w:val="26"/>
        </w:rPr>
      </w:pPr>
      <w:r w:rsidRPr="005C11D3">
        <w:rPr>
          <w:sz w:val="26"/>
          <w:szCs w:val="26"/>
        </w:rPr>
        <w:t xml:space="preserve">Director, Maricopa County Legal Defender’s Office </w:t>
      </w:r>
    </w:p>
    <w:p w14:paraId="63CE5E29" w14:textId="0BB38C9E" w:rsidR="00D836BD" w:rsidRDefault="00D836BD" w:rsidP="00D836BD">
      <w:pPr>
        <w:pStyle w:val="Default"/>
        <w:ind w:left="3600"/>
        <w:rPr>
          <w:sz w:val="26"/>
          <w:szCs w:val="26"/>
        </w:rPr>
      </w:pPr>
      <w:r w:rsidRPr="005C11D3">
        <w:rPr>
          <w:sz w:val="26"/>
          <w:szCs w:val="26"/>
        </w:rPr>
        <w:t>AZ Bar No. 013605</w:t>
      </w:r>
    </w:p>
    <w:p w14:paraId="72A70C0A" w14:textId="77777777" w:rsidR="00D836BD" w:rsidRPr="005C11D3" w:rsidRDefault="00D836BD" w:rsidP="00D836BD">
      <w:pPr>
        <w:pStyle w:val="Default"/>
        <w:rPr>
          <w:sz w:val="26"/>
          <w:szCs w:val="26"/>
        </w:rPr>
      </w:pPr>
    </w:p>
    <w:p w14:paraId="62669D0A" w14:textId="77777777" w:rsidR="00D836BD" w:rsidRPr="005C11D3" w:rsidRDefault="00D836BD" w:rsidP="00D836BD">
      <w:pPr>
        <w:pStyle w:val="Default"/>
        <w:rPr>
          <w:sz w:val="26"/>
          <w:szCs w:val="26"/>
        </w:rPr>
      </w:pPr>
    </w:p>
    <w:p w14:paraId="7EFF4373" w14:textId="47952376" w:rsidR="00D836BD" w:rsidRPr="005C11D3" w:rsidRDefault="00B65CE4" w:rsidP="00D836BD">
      <w:pPr>
        <w:pStyle w:val="Default"/>
        <w:rPr>
          <w:sz w:val="26"/>
          <w:szCs w:val="26"/>
        </w:rPr>
      </w:pPr>
      <w:r>
        <w:rPr>
          <w:sz w:val="26"/>
          <w:szCs w:val="26"/>
        </w:rPr>
        <w:t>T</w:t>
      </w:r>
      <w:r w:rsidR="00D836BD" w:rsidRPr="005C11D3">
        <w:rPr>
          <w:sz w:val="26"/>
          <w:szCs w:val="26"/>
        </w:rPr>
        <w:t xml:space="preserve">his comment has been submitted </w:t>
      </w:r>
    </w:p>
    <w:p w14:paraId="21CB9CF3" w14:textId="1E769526" w:rsidR="00D836BD" w:rsidRPr="005C11D3" w:rsidRDefault="00D836BD" w:rsidP="00D836BD">
      <w:pPr>
        <w:pStyle w:val="Default"/>
        <w:rPr>
          <w:sz w:val="26"/>
          <w:szCs w:val="26"/>
        </w:rPr>
      </w:pPr>
      <w:r w:rsidRPr="005C11D3">
        <w:rPr>
          <w:sz w:val="26"/>
          <w:szCs w:val="26"/>
        </w:rPr>
        <w:t xml:space="preserve">This </w:t>
      </w:r>
      <w:r w:rsidR="00281CD9" w:rsidRPr="00281CD9">
        <w:rPr>
          <w:sz w:val="26"/>
          <w:szCs w:val="26"/>
        </w:rPr>
        <w:t>25</w:t>
      </w:r>
      <w:r w:rsidR="00281CD9" w:rsidRPr="00281CD9">
        <w:rPr>
          <w:sz w:val="26"/>
          <w:szCs w:val="26"/>
          <w:vertAlign w:val="superscript"/>
        </w:rPr>
        <w:t>th</w:t>
      </w:r>
      <w:r w:rsidR="00281CD9" w:rsidRPr="00281CD9">
        <w:rPr>
          <w:sz w:val="26"/>
          <w:szCs w:val="26"/>
        </w:rPr>
        <w:t xml:space="preserve"> </w:t>
      </w:r>
      <w:r w:rsidRPr="005C11D3">
        <w:rPr>
          <w:sz w:val="26"/>
          <w:szCs w:val="26"/>
        </w:rPr>
        <w:t xml:space="preserve">day of </w:t>
      </w:r>
      <w:proofErr w:type="gramStart"/>
      <w:r w:rsidRPr="005C11D3">
        <w:rPr>
          <w:sz w:val="26"/>
          <w:szCs w:val="26"/>
        </w:rPr>
        <w:t>April,</w:t>
      </w:r>
      <w:proofErr w:type="gramEnd"/>
      <w:r w:rsidRPr="005C11D3">
        <w:rPr>
          <w:sz w:val="26"/>
          <w:szCs w:val="26"/>
        </w:rPr>
        <w:t xml:space="preserve"> 2022, to: </w:t>
      </w:r>
    </w:p>
    <w:p w14:paraId="6006B9A2" w14:textId="77777777" w:rsidR="00D836BD" w:rsidRPr="005C11D3" w:rsidRDefault="00D836BD" w:rsidP="00D836BD">
      <w:pPr>
        <w:pStyle w:val="Default"/>
        <w:rPr>
          <w:sz w:val="26"/>
          <w:szCs w:val="26"/>
        </w:rPr>
      </w:pPr>
    </w:p>
    <w:p w14:paraId="1B50C7A8" w14:textId="77777777" w:rsidR="00D836BD" w:rsidRPr="005C11D3" w:rsidRDefault="00D836BD" w:rsidP="00D836BD">
      <w:pPr>
        <w:pStyle w:val="Default"/>
        <w:rPr>
          <w:sz w:val="26"/>
          <w:szCs w:val="26"/>
        </w:rPr>
      </w:pPr>
      <w:r w:rsidRPr="005C11D3">
        <w:rPr>
          <w:sz w:val="26"/>
          <w:szCs w:val="26"/>
        </w:rPr>
        <w:t xml:space="preserve">Clerk of the Supreme Court of Arizona </w:t>
      </w:r>
    </w:p>
    <w:p w14:paraId="05084669" w14:textId="77777777" w:rsidR="00D836BD" w:rsidRPr="005C11D3" w:rsidRDefault="00D836BD" w:rsidP="00D836BD">
      <w:pPr>
        <w:pStyle w:val="Default"/>
        <w:rPr>
          <w:sz w:val="26"/>
          <w:szCs w:val="26"/>
        </w:rPr>
      </w:pPr>
      <w:r w:rsidRPr="005C11D3">
        <w:rPr>
          <w:sz w:val="26"/>
          <w:szCs w:val="26"/>
        </w:rPr>
        <w:t xml:space="preserve">1501 W. Washington, Suite 402 </w:t>
      </w:r>
    </w:p>
    <w:p w14:paraId="2981DD79" w14:textId="7D0C6559" w:rsidR="00D836BD" w:rsidRPr="005C11D3" w:rsidRDefault="00D836BD" w:rsidP="00D836BD">
      <w:pPr>
        <w:pStyle w:val="Default"/>
        <w:rPr>
          <w:sz w:val="26"/>
          <w:szCs w:val="26"/>
        </w:rPr>
      </w:pPr>
      <w:r w:rsidRPr="005C11D3">
        <w:rPr>
          <w:sz w:val="26"/>
          <w:szCs w:val="26"/>
        </w:rPr>
        <w:t xml:space="preserve">Phoenix, AZ 85007 </w:t>
      </w:r>
    </w:p>
    <w:p w14:paraId="08908A4F" w14:textId="77777777" w:rsidR="00D836BD" w:rsidRPr="005C11D3" w:rsidRDefault="00D836BD" w:rsidP="00D836BD">
      <w:pPr>
        <w:pStyle w:val="Default"/>
        <w:rPr>
          <w:sz w:val="26"/>
          <w:szCs w:val="26"/>
        </w:rPr>
      </w:pPr>
    </w:p>
    <w:p w14:paraId="761A2EB0" w14:textId="77777777" w:rsidR="00D836BD" w:rsidRPr="005C11D3" w:rsidRDefault="00D836BD" w:rsidP="00D836BD">
      <w:pPr>
        <w:pStyle w:val="Default"/>
        <w:rPr>
          <w:sz w:val="26"/>
          <w:szCs w:val="26"/>
        </w:rPr>
      </w:pPr>
      <w:r w:rsidRPr="005C11D3">
        <w:rPr>
          <w:sz w:val="26"/>
          <w:szCs w:val="26"/>
        </w:rPr>
        <w:t xml:space="preserve">Dave Byers, Administrative Director </w:t>
      </w:r>
    </w:p>
    <w:p w14:paraId="657E1DEE" w14:textId="77777777" w:rsidR="00D836BD" w:rsidRPr="005C11D3" w:rsidRDefault="00D836BD" w:rsidP="00D836BD">
      <w:pPr>
        <w:pStyle w:val="Default"/>
        <w:rPr>
          <w:sz w:val="26"/>
          <w:szCs w:val="26"/>
        </w:rPr>
      </w:pPr>
      <w:r w:rsidRPr="005C11D3">
        <w:rPr>
          <w:sz w:val="26"/>
          <w:szCs w:val="26"/>
        </w:rPr>
        <w:t xml:space="preserve">Administrative Office of the Courts </w:t>
      </w:r>
    </w:p>
    <w:p w14:paraId="324F2760" w14:textId="77777777" w:rsidR="00D836BD" w:rsidRPr="005C11D3" w:rsidRDefault="00D836BD" w:rsidP="00D836BD">
      <w:pPr>
        <w:pStyle w:val="Default"/>
        <w:rPr>
          <w:sz w:val="26"/>
          <w:szCs w:val="26"/>
        </w:rPr>
      </w:pPr>
      <w:r w:rsidRPr="005C11D3">
        <w:rPr>
          <w:sz w:val="26"/>
          <w:szCs w:val="26"/>
        </w:rPr>
        <w:t xml:space="preserve">1501 W. Washington, Suite 411 </w:t>
      </w:r>
    </w:p>
    <w:p w14:paraId="21A667A4" w14:textId="4EB3B6B5" w:rsidR="00D836BD" w:rsidRPr="005C11D3" w:rsidRDefault="00D836BD" w:rsidP="00D836BD">
      <w:pPr>
        <w:pStyle w:val="Default"/>
        <w:rPr>
          <w:sz w:val="26"/>
          <w:szCs w:val="26"/>
        </w:rPr>
      </w:pPr>
      <w:r w:rsidRPr="005C11D3">
        <w:rPr>
          <w:sz w:val="26"/>
          <w:szCs w:val="26"/>
        </w:rPr>
        <w:t>Phoenix, AZ 85007</w:t>
      </w:r>
    </w:p>
    <w:p w14:paraId="07E2C949" w14:textId="77777777" w:rsidR="00D836BD" w:rsidRPr="005C11D3" w:rsidRDefault="00D836BD" w:rsidP="00D836BD">
      <w:pPr>
        <w:pStyle w:val="Default"/>
        <w:rPr>
          <w:sz w:val="26"/>
          <w:szCs w:val="26"/>
        </w:rPr>
      </w:pPr>
      <w:r w:rsidRPr="005C11D3">
        <w:rPr>
          <w:sz w:val="26"/>
          <w:szCs w:val="26"/>
        </w:rPr>
        <w:t xml:space="preserve">Projects2@courts.az.gov </w:t>
      </w:r>
    </w:p>
    <w:p w14:paraId="2250ACAB" w14:textId="77777777" w:rsidR="00D836BD" w:rsidRPr="005C11D3" w:rsidRDefault="00D836BD" w:rsidP="00D836BD">
      <w:pPr>
        <w:pStyle w:val="Default"/>
        <w:rPr>
          <w:sz w:val="26"/>
          <w:szCs w:val="26"/>
        </w:rPr>
      </w:pPr>
      <w:r w:rsidRPr="005C11D3">
        <w:rPr>
          <w:sz w:val="26"/>
          <w:szCs w:val="26"/>
        </w:rPr>
        <w:t xml:space="preserve">Petitioner </w:t>
      </w:r>
    </w:p>
    <w:p w14:paraId="7ECC3583" w14:textId="77777777" w:rsidR="00D836BD" w:rsidRPr="005C11D3" w:rsidRDefault="00D836BD" w:rsidP="00D836BD">
      <w:pPr>
        <w:spacing w:line="480" w:lineRule="auto"/>
        <w:rPr>
          <w:rFonts w:cs="Times New Roman"/>
          <w:szCs w:val="26"/>
        </w:rPr>
      </w:pPr>
    </w:p>
    <w:p w14:paraId="3561E111" w14:textId="69D7CE58" w:rsidR="00025FD1" w:rsidRPr="005C11D3" w:rsidRDefault="00D836BD" w:rsidP="00D836BD">
      <w:pPr>
        <w:spacing w:line="480" w:lineRule="auto"/>
        <w:rPr>
          <w:rFonts w:cs="Times New Roman"/>
          <w:szCs w:val="26"/>
        </w:rPr>
      </w:pPr>
      <w:r w:rsidRPr="005C11D3">
        <w:rPr>
          <w:rFonts w:cs="Times New Roman"/>
          <w:szCs w:val="26"/>
        </w:rPr>
        <w:t xml:space="preserve">By </w:t>
      </w:r>
      <w:r w:rsidRPr="005C11D3">
        <w:rPr>
          <w:rFonts w:cs="Times New Roman"/>
          <w:szCs w:val="26"/>
          <w:u w:val="single"/>
        </w:rPr>
        <w:t>/s/</w:t>
      </w:r>
      <w:r w:rsidR="00281CD9">
        <w:rPr>
          <w:rFonts w:cs="Times New Roman"/>
          <w:szCs w:val="26"/>
          <w:u w:val="single"/>
        </w:rPr>
        <w:t xml:space="preserve"> Richard K. Miller</w:t>
      </w:r>
    </w:p>
    <w:sectPr w:rsidR="00025FD1" w:rsidRPr="005C11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FE410" w14:textId="77777777" w:rsidR="006E30F1" w:rsidRDefault="006E30F1" w:rsidP="00F413F7">
      <w:r>
        <w:separator/>
      </w:r>
    </w:p>
  </w:endnote>
  <w:endnote w:type="continuationSeparator" w:id="0">
    <w:p w14:paraId="15805EF4" w14:textId="77777777" w:rsidR="006E30F1" w:rsidRDefault="006E30F1" w:rsidP="00F4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636596"/>
      <w:docPartObj>
        <w:docPartGallery w:val="Page Numbers (Bottom of Page)"/>
        <w:docPartUnique/>
      </w:docPartObj>
    </w:sdtPr>
    <w:sdtEndPr>
      <w:rPr>
        <w:noProof/>
        <w:sz w:val="24"/>
        <w:szCs w:val="24"/>
      </w:rPr>
    </w:sdtEndPr>
    <w:sdtContent>
      <w:p w14:paraId="02E32CCE" w14:textId="3EFFC0EE" w:rsidR="00F413F7" w:rsidRPr="00133209" w:rsidRDefault="00F413F7">
        <w:pPr>
          <w:pStyle w:val="Footer"/>
          <w:jc w:val="center"/>
          <w:rPr>
            <w:sz w:val="24"/>
            <w:szCs w:val="24"/>
          </w:rPr>
        </w:pPr>
        <w:r w:rsidRPr="00133209">
          <w:rPr>
            <w:sz w:val="24"/>
            <w:szCs w:val="24"/>
          </w:rPr>
          <w:fldChar w:fldCharType="begin"/>
        </w:r>
        <w:r w:rsidRPr="00133209">
          <w:rPr>
            <w:sz w:val="24"/>
            <w:szCs w:val="24"/>
          </w:rPr>
          <w:instrText xml:space="preserve"> PAGE   \* MERGEFORMAT </w:instrText>
        </w:r>
        <w:r w:rsidRPr="00133209">
          <w:rPr>
            <w:sz w:val="24"/>
            <w:szCs w:val="24"/>
          </w:rPr>
          <w:fldChar w:fldCharType="separate"/>
        </w:r>
        <w:r w:rsidRPr="00133209">
          <w:rPr>
            <w:noProof/>
            <w:sz w:val="24"/>
            <w:szCs w:val="24"/>
          </w:rPr>
          <w:t>2</w:t>
        </w:r>
        <w:r w:rsidRPr="00133209">
          <w:rPr>
            <w:noProof/>
            <w:sz w:val="24"/>
            <w:szCs w:val="24"/>
          </w:rPr>
          <w:fldChar w:fldCharType="end"/>
        </w:r>
      </w:p>
    </w:sdtContent>
  </w:sdt>
  <w:p w14:paraId="7D232C00" w14:textId="77777777" w:rsidR="00F413F7" w:rsidRDefault="00F41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F9D8" w14:textId="77777777" w:rsidR="006E30F1" w:rsidRDefault="006E30F1" w:rsidP="00F413F7">
      <w:r>
        <w:separator/>
      </w:r>
    </w:p>
  </w:footnote>
  <w:footnote w:type="continuationSeparator" w:id="0">
    <w:p w14:paraId="7909E2CA" w14:textId="77777777" w:rsidR="006E30F1" w:rsidRDefault="006E30F1" w:rsidP="00F413F7">
      <w:r>
        <w:continuationSeparator/>
      </w:r>
    </w:p>
  </w:footnote>
  <w:footnote w:id="1">
    <w:p w14:paraId="7AFCB31E" w14:textId="5C4FC792" w:rsidR="00793323" w:rsidRDefault="00793323">
      <w:pPr>
        <w:pStyle w:val="FootnoteText"/>
      </w:pPr>
      <w:r>
        <w:rPr>
          <w:rStyle w:val="FootnoteReference"/>
        </w:rPr>
        <w:footnoteRef/>
      </w:r>
      <w:r>
        <w:t xml:space="preserve"> </w:t>
      </w:r>
      <w:hyperlink r:id="rId1" w:history="1">
        <w:r w:rsidR="00327CA8" w:rsidRPr="001D5125">
          <w:rPr>
            <w:rStyle w:val="Hyperlink"/>
          </w:rPr>
          <w:t>https://abcnews.go.com/US/charges-officer-shot-killed-amir-locke/story?id=83910346</w:t>
        </w:r>
      </w:hyperlink>
      <w:r w:rsidR="00327CA8">
        <w:t xml:space="preserve"> </w:t>
      </w:r>
    </w:p>
    <w:p w14:paraId="7BA803ED" w14:textId="490B3592" w:rsidR="00327CA8" w:rsidRDefault="000F4BAB">
      <w:pPr>
        <w:pStyle w:val="FootnoteText"/>
      </w:pPr>
      <w:hyperlink r:id="rId2" w:history="1">
        <w:r w:rsidR="00327CA8" w:rsidRPr="001D5125">
          <w:rPr>
            <w:rStyle w:val="Hyperlink"/>
          </w:rPr>
          <w:t>https://people.com/crime/2-years-after-breonna-taylors-death-family-continues-fight-against-no-knock-warrants/</w:t>
        </w:r>
      </w:hyperlink>
      <w:r w:rsidR="00327CA8">
        <w:t xml:space="preserve"> </w:t>
      </w:r>
    </w:p>
    <w:p w14:paraId="695D36C5" w14:textId="353C1072" w:rsidR="00327CA8" w:rsidRDefault="000F4BAB">
      <w:pPr>
        <w:pStyle w:val="FootnoteText"/>
      </w:pPr>
      <w:hyperlink r:id="rId3" w:history="1">
        <w:r w:rsidR="00327CA8" w:rsidRPr="001D5125">
          <w:rPr>
            <w:rStyle w:val="Hyperlink"/>
          </w:rPr>
          <w:t>https://news.bloomberglaw.com/social-justice/no-knock-raids-political-inaction-has-deadly-consequences</w:t>
        </w:r>
      </w:hyperlink>
      <w:r w:rsidR="00327CA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B340F"/>
    <w:multiLevelType w:val="hybridMultilevel"/>
    <w:tmpl w:val="CD70D30C"/>
    <w:lvl w:ilvl="0" w:tplc="FAAA0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6D7FED"/>
    <w:multiLevelType w:val="hybridMultilevel"/>
    <w:tmpl w:val="9CE8DAF8"/>
    <w:lvl w:ilvl="0" w:tplc="CA0A5B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DC"/>
    <w:rsid w:val="000034C7"/>
    <w:rsid w:val="00010725"/>
    <w:rsid w:val="00025FD1"/>
    <w:rsid w:val="000826DD"/>
    <w:rsid w:val="000A5104"/>
    <w:rsid w:val="000A566B"/>
    <w:rsid w:val="000E733E"/>
    <w:rsid w:val="000F4BAB"/>
    <w:rsid w:val="000F5794"/>
    <w:rsid w:val="00133209"/>
    <w:rsid w:val="001469DA"/>
    <w:rsid w:val="001A404D"/>
    <w:rsid w:val="001C5460"/>
    <w:rsid w:val="001C70F2"/>
    <w:rsid w:val="002038F0"/>
    <w:rsid w:val="00227491"/>
    <w:rsid w:val="0023187D"/>
    <w:rsid w:val="00254C91"/>
    <w:rsid w:val="00281CD9"/>
    <w:rsid w:val="002B45EC"/>
    <w:rsid w:val="002C4702"/>
    <w:rsid w:val="002C5B97"/>
    <w:rsid w:val="002F4E13"/>
    <w:rsid w:val="002F754B"/>
    <w:rsid w:val="00306022"/>
    <w:rsid w:val="00320251"/>
    <w:rsid w:val="00327CA8"/>
    <w:rsid w:val="003B104B"/>
    <w:rsid w:val="003B6CEC"/>
    <w:rsid w:val="003C1722"/>
    <w:rsid w:val="003E037A"/>
    <w:rsid w:val="003E1390"/>
    <w:rsid w:val="0040277A"/>
    <w:rsid w:val="0040707F"/>
    <w:rsid w:val="004232CD"/>
    <w:rsid w:val="0045448E"/>
    <w:rsid w:val="004B3FB2"/>
    <w:rsid w:val="004C2E1B"/>
    <w:rsid w:val="004C2E68"/>
    <w:rsid w:val="004E3121"/>
    <w:rsid w:val="005149FD"/>
    <w:rsid w:val="00515242"/>
    <w:rsid w:val="00522DB6"/>
    <w:rsid w:val="00540181"/>
    <w:rsid w:val="005A7884"/>
    <w:rsid w:val="005C11D3"/>
    <w:rsid w:val="005F4AB5"/>
    <w:rsid w:val="00600A29"/>
    <w:rsid w:val="00671BF0"/>
    <w:rsid w:val="00687127"/>
    <w:rsid w:val="006C288A"/>
    <w:rsid w:val="006E30F1"/>
    <w:rsid w:val="006F0EF7"/>
    <w:rsid w:val="0070349F"/>
    <w:rsid w:val="00793323"/>
    <w:rsid w:val="007A12A9"/>
    <w:rsid w:val="007B26CF"/>
    <w:rsid w:val="008029E6"/>
    <w:rsid w:val="008350EB"/>
    <w:rsid w:val="008B19B0"/>
    <w:rsid w:val="008F1B11"/>
    <w:rsid w:val="0090406F"/>
    <w:rsid w:val="009A1CDD"/>
    <w:rsid w:val="00AB036F"/>
    <w:rsid w:val="00AD29FF"/>
    <w:rsid w:val="00B32D34"/>
    <w:rsid w:val="00B41EA5"/>
    <w:rsid w:val="00B65CE4"/>
    <w:rsid w:val="00B97CE1"/>
    <w:rsid w:val="00BC34C4"/>
    <w:rsid w:val="00BD271D"/>
    <w:rsid w:val="00C409CE"/>
    <w:rsid w:val="00C63B0A"/>
    <w:rsid w:val="00C80F56"/>
    <w:rsid w:val="00CB12F4"/>
    <w:rsid w:val="00CC48FA"/>
    <w:rsid w:val="00CD0120"/>
    <w:rsid w:val="00CD29DC"/>
    <w:rsid w:val="00CD60E3"/>
    <w:rsid w:val="00CF1836"/>
    <w:rsid w:val="00D24550"/>
    <w:rsid w:val="00D45938"/>
    <w:rsid w:val="00D836BD"/>
    <w:rsid w:val="00DE4C86"/>
    <w:rsid w:val="00DF3840"/>
    <w:rsid w:val="00E65BB1"/>
    <w:rsid w:val="00E70863"/>
    <w:rsid w:val="00EA6C75"/>
    <w:rsid w:val="00ED3BBC"/>
    <w:rsid w:val="00F21B93"/>
    <w:rsid w:val="00F413F7"/>
    <w:rsid w:val="00F44E30"/>
    <w:rsid w:val="00F776A3"/>
    <w:rsid w:val="00F97518"/>
    <w:rsid w:val="00FD0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72F6"/>
  <w15:chartTrackingRefBased/>
  <w15:docId w15:val="{26C7DD08-0C94-40AF-969C-9E00F894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120"/>
    <w:pPr>
      <w:ind w:left="720"/>
      <w:contextualSpacing/>
    </w:pPr>
  </w:style>
  <w:style w:type="paragraph" w:styleId="Header">
    <w:name w:val="header"/>
    <w:basedOn w:val="Normal"/>
    <w:link w:val="HeaderChar"/>
    <w:uiPriority w:val="99"/>
    <w:unhideWhenUsed/>
    <w:rsid w:val="00F413F7"/>
    <w:pPr>
      <w:tabs>
        <w:tab w:val="center" w:pos="4680"/>
        <w:tab w:val="right" w:pos="9360"/>
      </w:tabs>
    </w:pPr>
  </w:style>
  <w:style w:type="character" w:customStyle="1" w:styleId="HeaderChar">
    <w:name w:val="Header Char"/>
    <w:basedOn w:val="DefaultParagraphFont"/>
    <w:link w:val="Header"/>
    <w:uiPriority w:val="99"/>
    <w:rsid w:val="00F413F7"/>
  </w:style>
  <w:style w:type="paragraph" w:styleId="Footer">
    <w:name w:val="footer"/>
    <w:basedOn w:val="Normal"/>
    <w:link w:val="FooterChar"/>
    <w:uiPriority w:val="99"/>
    <w:unhideWhenUsed/>
    <w:rsid w:val="00F413F7"/>
    <w:pPr>
      <w:tabs>
        <w:tab w:val="center" w:pos="4680"/>
        <w:tab w:val="right" w:pos="9360"/>
      </w:tabs>
    </w:pPr>
  </w:style>
  <w:style w:type="character" w:customStyle="1" w:styleId="FooterChar">
    <w:name w:val="Footer Char"/>
    <w:basedOn w:val="DefaultParagraphFont"/>
    <w:link w:val="Footer"/>
    <w:uiPriority w:val="99"/>
    <w:rsid w:val="00F413F7"/>
  </w:style>
  <w:style w:type="character" w:styleId="CommentReference">
    <w:name w:val="annotation reference"/>
    <w:basedOn w:val="DefaultParagraphFont"/>
    <w:uiPriority w:val="99"/>
    <w:semiHidden/>
    <w:unhideWhenUsed/>
    <w:rsid w:val="002F754B"/>
    <w:rPr>
      <w:sz w:val="16"/>
      <w:szCs w:val="16"/>
    </w:rPr>
  </w:style>
  <w:style w:type="paragraph" w:styleId="CommentText">
    <w:name w:val="annotation text"/>
    <w:basedOn w:val="Normal"/>
    <w:link w:val="CommentTextChar"/>
    <w:uiPriority w:val="99"/>
    <w:semiHidden/>
    <w:unhideWhenUsed/>
    <w:rsid w:val="002F754B"/>
    <w:rPr>
      <w:sz w:val="20"/>
      <w:szCs w:val="20"/>
    </w:rPr>
  </w:style>
  <w:style w:type="character" w:customStyle="1" w:styleId="CommentTextChar">
    <w:name w:val="Comment Text Char"/>
    <w:basedOn w:val="DefaultParagraphFont"/>
    <w:link w:val="CommentText"/>
    <w:uiPriority w:val="99"/>
    <w:semiHidden/>
    <w:rsid w:val="002F754B"/>
    <w:rPr>
      <w:sz w:val="20"/>
      <w:szCs w:val="20"/>
    </w:rPr>
  </w:style>
  <w:style w:type="paragraph" w:styleId="CommentSubject">
    <w:name w:val="annotation subject"/>
    <w:basedOn w:val="CommentText"/>
    <w:next w:val="CommentText"/>
    <w:link w:val="CommentSubjectChar"/>
    <w:uiPriority w:val="99"/>
    <w:semiHidden/>
    <w:unhideWhenUsed/>
    <w:rsid w:val="002F754B"/>
    <w:rPr>
      <w:b/>
      <w:bCs/>
    </w:rPr>
  </w:style>
  <w:style w:type="character" w:customStyle="1" w:styleId="CommentSubjectChar">
    <w:name w:val="Comment Subject Char"/>
    <w:basedOn w:val="CommentTextChar"/>
    <w:link w:val="CommentSubject"/>
    <w:uiPriority w:val="99"/>
    <w:semiHidden/>
    <w:rsid w:val="002F754B"/>
    <w:rPr>
      <w:b/>
      <w:bCs/>
      <w:sz w:val="20"/>
      <w:szCs w:val="20"/>
    </w:rPr>
  </w:style>
  <w:style w:type="paragraph" w:styleId="FootnoteText">
    <w:name w:val="footnote text"/>
    <w:basedOn w:val="Normal"/>
    <w:link w:val="FootnoteTextChar"/>
    <w:uiPriority w:val="99"/>
    <w:semiHidden/>
    <w:unhideWhenUsed/>
    <w:rsid w:val="00793323"/>
    <w:rPr>
      <w:sz w:val="20"/>
      <w:szCs w:val="20"/>
    </w:rPr>
  </w:style>
  <w:style w:type="character" w:customStyle="1" w:styleId="FootnoteTextChar">
    <w:name w:val="Footnote Text Char"/>
    <w:basedOn w:val="DefaultParagraphFont"/>
    <w:link w:val="FootnoteText"/>
    <w:uiPriority w:val="99"/>
    <w:semiHidden/>
    <w:rsid w:val="00793323"/>
    <w:rPr>
      <w:sz w:val="20"/>
      <w:szCs w:val="20"/>
    </w:rPr>
  </w:style>
  <w:style w:type="character" w:styleId="FootnoteReference">
    <w:name w:val="footnote reference"/>
    <w:basedOn w:val="DefaultParagraphFont"/>
    <w:uiPriority w:val="99"/>
    <w:semiHidden/>
    <w:unhideWhenUsed/>
    <w:rsid w:val="00793323"/>
    <w:rPr>
      <w:vertAlign w:val="superscript"/>
    </w:rPr>
  </w:style>
  <w:style w:type="paragraph" w:customStyle="1" w:styleId="Default">
    <w:name w:val="Default"/>
    <w:rsid w:val="00D836BD"/>
    <w:pPr>
      <w:autoSpaceDE w:val="0"/>
      <w:autoSpaceDN w:val="0"/>
      <w:adjustRightInd w:val="0"/>
    </w:pPr>
    <w:rPr>
      <w:rFonts w:cs="Times New Roman"/>
      <w:color w:val="000000"/>
      <w:sz w:val="24"/>
      <w:szCs w:val="24"/>
    </w:rPr>
  </w:style>
  <w:style w:type="character" w:styleId="Hyperlink">
    <w:name w:val="Hyperlink"/>
    <w:basedOn w:val="DefaultParagraphFont"/>
    <w:uiPriority w:val="99"/>
    <w:unhideWhenUsed/>
    <w:rsid w:val="00327CA8"/>
    <w:rPr>
      <w:color w:val="0000FF" w:themeColor="hyperlink"/>
      <w:u w:val="single"/>
    </w:rPr>
  </w:style>
  <w:style w:type="character" w:styleId="UnresolvedMention">
    <w:name w:val="Unresolved Mention"/>
    <w:basedOn w:val="DefaultParagraphFont"/>
    <w:uiPriority w:val="99"/>
    <w:semiHidden/>
    <w:unhideWhenUsed/>
    <w:rsid w:val="00327CA8"/>
    <w:rPr>
      <w:color w:val="605E5C"/>
      <w:shd w:val="clear" w:color="auto" w:fill="E1DFDD"/>
    </w:rPr>
  </w:style>
  <w:style w:type="table" w:styleId="TableGrid">
    <w:name w:val="Table Grid"/>
    <w:basedOn w:val="TableNormal"/>
    <w:uiPriority w:val="59"/>
    <w:rsid w:val="005A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ews.bloomberglaw.com/social-justice/no-knock-raids-political-inaction-has-deadly-consequences" TargetMode="External"/><Relationship Id="rId2" Type="http://schemas.openxmlformats.org/officeDocument/2006/relationships/hyperlink" Target="https://people.com/crime/2-years-after-breonna-taylors-death-family-continues-fight-against-no-knock-warrants/" TargetMode="External"/><Relationship Id="rId1" Type="http://schemas.openxmlformats.org/officeDocument/2006/relationships/hyperlink" Target="https://abcnews.go.com/US/charges-officer-shot-killed-amir-locke/story?id=83910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20AEA-5C50-44BE-8B22-71DF347F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Swart (OLD)</dc:creator>
  <cp:keywords/>
  <dc:description/>
  <cp:lastModifiedBy>Rick Miller (OLD)</cp:lastModifiedBy>
  <cp:revision>44</cp:revision>
  <dcterms:created xsi:type="dcterms:W3CDTF">2022-04-11T15:11:00Z</dcterms:created>
  <dcterms:modified xsi:type="dcterms:W3CDTF">2022-04-25T17:12:00Z</dcterms:modified>
</cp:coreProperties>
</file>