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29B" w:rsidRPr="00B971D9" w:rsidRDefault="002578BC">
      <w:pPr>
        <w:pStyle w:val="Caption-FirmInfo"/>
        <w:rPr>
          <w:noProof/>
          <w:sz w:val="28"/>
          <w:szCs w:val="28"/>
        </w:rPr>
      </w:pPr>
      <w:bookmarkStart w:id="0" w:name="Caption"/>
      <w:bookmarkStart w:id="1" w:name="_GoBack"/>
      <w:bookmarkEnd w:id="1"/>
      <w:r w:rsidRPr="00B971D9">
        <w:rPr>
          <w:noProof/>
          <w:sz w:val="28"/>
          <w:szCs w:val="28"/>
        </w:rPr>
        <w:t>J. Scott Rhodes - 016721</w:t>
      </w:r>
    </w:p>
    <w:p w:rsidR="002578BC" w:rsidRPr="00B971D9" w:rsidRDefault="002578BC">
      <w:pPr>
        <w:pStyle w:val="Caption-FirmInfo"/>
        <w:rPr>
          <w:sz w:val="28"/>
          <w:szCs w:val="28"/>
        </w:rPr>
      </w:pPr>
      <w:r w:rsidRPr="00B971D9">
        <w:rPr>
          <w:sz w:val="28"/>
          <w:szCs w:val="28"/>
        </w:rPr>
        <w:t>srhodes@jsslaw.com</w:t>
      </w:r>
    </w:p>
    <w:p w:rsidR="002578BC" w:rsidRPr="00B971D9" w:rsidRDefault="002578BC">
      <w:pPr>
        <w:pStyle w:val="Caption-FirmInfo"/>
        <w:rPr>
          <w:sz w:val="28"/>
          <w:szCs w:val="28"/>
        </w:rPr>
      </w:pPr>
      <w:r w:rsidRPr="00B971D9">
        <w:rPr>
          <w:sz w:val="28"/>
          <w:szCs w:val="28"/>
        </w:rPr>
        <w:t>Ashley M. Mahoney - 034776</w:t>
      </w:r>
    </w:p>
    <w:p w:rsidR="002578BC" w:rsidRPr="00B971D9" w:rsidRDefault="002578BC">
      <w:pPr>
        <w:pStyle w:val="Caption-FirmInfo"/>
        <w:rPr>
          <w:sz w:val="28"/>
          <w:szCs w:val="28"/>
        </w:rPr>
      </w:pPr>
      <w:r w:rsidRPr="00B971D9">
        <w:rPr>
          <w:sz w:val="28"/>
          <w:szCs w:val="28"/>
        </w:rPr>
        <w:t>Amahoney@jsslaw.com</w:t>
      </w:r>
    </w:p>
    <w:p w:rsidR="007F129B" w:rsidRPr="00B971D9" w:rsidRDefault="007F129B" w:rsidP="002578BC">
      <w:pPr>
        <w:pStyle w:val="Caption-FirmInfo"/>
        <w:ind w:right="3744"/>
        <w:rPr>
          <w:b/>
          <w:sz w:val="28"/>
          <w:szCs w:val="28"/>
        </w:rPr>
      </w:pPr>
      <w:r w:rsidRPr="00B971D9">
        <w:rPr>
          <w:b/>
          <w:sz w:val="28"/>
          <w:szCs w:val="28"/>
        </w:rPr>
        <w:t xml:space="preserve">JENNINGS, STROUSS &amp; SALMON, </w:t>
      </w:r>
      <w:r w:rsidR="002578BC" w:rsidRPr="00B971D9">
        <w:rPr>
          <w:b/>
          <w:sz w:val="28"/>
          <w:szCs w:val="28"/>
        </w:rPr>
        <w:t>P</w:t>
      </w:r>
      <w:r w:rsidRPr="00B971D9">
        <w:rPr>
          <w:b/>
          <w:sz w:val="28"/>
          <w:szCs w:val="28"/>
        </w:rPr>
        <w:t>.L.C.</w:t>
      </w:r>
    </w:p>
    <w:p w:rsidR="007F129B" w:rsidRPr="00B971D9" w:rsidRDefault="007F129B">
      <w:pPr>
        <w:pStyle w:val="Caption-FirmInfo"/>
        <w:rPr>
          <w:sz w:val="28"/>
          <w:szCs w:val="28"/>
        </w:rPr>
      </w:pPr>
      <w:r w:rsidRPr="00B971D9">
        <w:rPr>
          <w:sz w:val="28"/>
          <w:szCs w:val="28"/>
        </w:rPr>
        <w:t>A Professional Limited Liability Company</w:t>
      </w:r>
    </w:p>
    <w:p w:rsidR="007F129B" w:rsidRPr="00B971D9" w:rsidRDefault="00E21B43">
      <w:pPr>
        <w:pStyle w:val="Caption-FirmInfo"/>
        <w:rPr>
          <w:sz w:val="28"/>
          <w:szCs w:val="28"/>
        </w:rPr>
      </w:pPr>
      <w:r w:rsidRPr="00B971D9">
        <w:rPr>
          <w:sz w:val="28"/>
          <w:szCs w:val="28"/>
        </w:rPr>
        <w:t>One East Washington Street</w:t>
      </w:r>
      <w:r w:rsidR="002578BC" w:rsidRPr="00B971D9">
        <w:rPr>
          <w:sz w:val="28"/>
          <w:szCs w:val="28"/>
        </w:rPr>
        <w:t xml:space="preserve">, </w:t>
      </w:r>
      <w:r w:rsidRPr="00B971D9">
        <w:rPr>
          <w:sz w:val="28"/>
          <w:szCs w:val="28"/>
        </w:rPr>
        <w:t>Suite 1900</w:t>
      </w:r>
    </w:p>
    <w:p w:rsidR="007F129B" w:rsidRPr="00B971D9" w:rsidRDefault="007F129B">
      <w:pPr>
        <w:pStyle w:val="Caption-FirmInfo"/>
        <w:rPr>
          <w:sz w:val="28"/>
          <w:szCs w:val="28"/>
        </w:rPr>
      </w:pPr>
      <w:r w:rsidRPr="00B971D9">
        <w:rPr>
          <w:sz w:val="28"/>
          <w:szCs w:val="28"/>
        </w:rPr>
        <w:t>Phoenix, Arizona  85004-</w:t>
      </w:r>
      <w:r w:rsidR="00E21B43" w:rsidRPr="00B971D9">
        <w:rPr>
          <w:sz w:val="28"/>
          <w:szCs w:val="28"/>
        </w:rPr>
        <w:t>2554</w:t>
      </w:r>
    </w:p>
    <w:p w:rsidR="007F129B" w:rsidRPr="00B971D9" w:rsidRDefault="007F129B">
      <w:pPr>
        <w:pStyle w:val="Caption-FirmInfo"/>
        <w:rPr>
          <w:sz w:val="28"/>
          <w:szCs w:val="28"/>
        </w:rPr>
      </w:pPr>
      <w:r w:rsidRPr="00B971D9">
        <w:rPr>
          <w:sz w:val="28"/>
          <w:szCs w:val="28"/>
        </w:rPr>
        <w:t>Telephone: (602) 262-5911</w:t>
      </w:r>
    </w:p>
    <w:p w:rsidR="007F129B" w:rsidRPr="00B971D9" w:rsidRDefault="007F129B">
      <w:pPr>
        <w:pStyle w:val="Caption-FirmInfo"/>
        <w:rPr>
          <w:sz w:val="28"/>
          <w:szCs w:val="28"/>
        </w:rPr>
      </w:pPr>
      <w:r w:rsidRPr="00B971D9">
        <w:rPr>
          <w:snapToGrid w:val="0"/>
          <w:color w:val="0000FF"/>
          <w:sz w:val="28"/>
          <w:szCs w:val="28"/>
          <w:u w:val="single"/>
        </w:rPr>
        <w:t>MinuteEntries@jsslaw.com</w:t>
      </w:r>
    </w:p>
    <w:p w:rsidR="007F129B" w:rsidRPr="00B971D9" w:rsidRDefault="007F129B" w:rsidP="003A0C45">
      <w:pPr>
        <w:pStyle w:val="Caption-title"/>
        <w:spacing w:before="480"/>
        <w:rPr>
          <w:sz w:val="28"/>
          <w:szCs w:val="28"/>
        </w:rPr>
      </w:pPr>
      <w:bookmarkStart w:id="2" w:name="Representing"/>
      <w:bookmarkEnd w:id="2"/>
      <w:r w:rsidRPr="00B971D9">
        <w:rPr>
          <w:sz w:val="28"/>
          <w:szCs w:val="28"/>
        </w:rPr>
        <w:t xml:space="preserve">IN THE </w:t>
      </w:r>
      <w:r w:rsidR="002578BC" w:rsidRPr="00B971D9">
        <w:rPr>
          <w:sz w:val="28"/>
          <w:szCs w:val="28"/>
        </w:rPr>
        <w:t>SUPREME COURT</w:t>
      </w:r>
    </w:p>
    <w:p w:rsidR="007F129B" w:rsidRPr="00B971D9" w:rsidRDefault="002578BC">
      <w:pPr>
        <w:pStyle w:val="Caption-title"/>
        <w:spacing w:before="240"/>
        <w:rPr>
          <w:sz w:val="28"/>
          <w:szCs w:val="28"/>
        </w:rPr>
      </w:pPr>
      <w:r w:rsidRPr="00B971D9">
        <w:rPr>
          <w:sz w:val="28"/>
          <w:szCs w:val="28"/>
        </w:rPr>
        <w:t>STATE OF ARIZONA</w:t>
      </w:r>
    </w:p>
    <w:p w:rsidR="007F129B" w:rsidRPr="00B971D9" w:rsidRDefault="007F129B">
      <w:pPr>
        <w:pStyle w:val="Caption-title"/>
        <w:rPr>
          <w:sz w:val="28"/>
          <w:szCs w:val="28"/>
        </w:rPr>
      </w:pPr>
    </w:p>
    <w:p w:rsidR="002578BC" w:rsidRPr="00B971D9" w:rsidRDefault="002578BC">
      <w:pPr>
        <w:pStyle w:val="Caption-title"/>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7F129B" w:rsidRPr="00B971D9">
        <w:tc>
          <w:tcPr>
            <w:tcW w:w="4788" w:type="dxa"/>
            <w:tcBorders>
              <w:top w:val="nil"/>
              <w:left w:val="nil"/>
            </w:tcBorders>
          </w:tcPr>
          <w:p w:rsidR="007F129B" w:rsidRPr="00B971D9" w:rsidRDefault="002578BC" w:rsidP="003A0C45">
            <w:pPr>
              <w:pStyle w:val="Caption-PlaintiffDefendant"/>
              <w:spacing w:before="120" w:after="240" w:line="240" w:lineRule="auto"/>
              <w:rPr>
                <w:sz w:val="28"/>
                <w:szCs w:val="28"/>
              </w:rPr>
            </w:pPr>
            <w:bookmarkStart w:id="3" w:name="PlaintiffInfo"/>
            <w:bookmarkEnd w:id="3"/>
            <w:r w:rsidRPr="00B971D9">
              <w:rPr>
                <w:sz w:val="28"/>
                <w:szCs w:val="28"/>
              </w:rPr>
              <w:t>In the Matter of</w:t>
            </w:r>
          </w:p>
          <w:p w:rsidR="007F129B" w:rsidRPr="00B971D9" w:rsidRDefault="002578BC" w:rsidP="008941AC">
            <w:pPr>
              <w:pStyle w:val="Caption-PlaintiffDefendant"/>
              <w:tabs>
                <w:tab w:val="left" w:pos="2153"/>
              </w:tabs>
              <w:spacing w:before="240" w:after="240" w:line="240" w:lineRule="auto"/>
              <w:rPr>
                <w:sz w:val="28"/>
                <w:szCs w:val="28"/>
              </w:rPr>
            </w:pPr>
            <w:r w:rsidRPr="00B971D9">
              <w:rPr>
                <w:sz w:val="28"/>
                <w:szCs w:val="28"/>
              </w:rPr>
              <w:t xml:space="preserve">PETITION </w:t>
            </w:r>
            <w:r w:rsidR="008941AC" w:rsidRPr="00B971D9">
              <w:rPr>
                <w:sz w:val="28"/>
                <w:szCs w:val="28"/>
              </w:rPr>
              <w:t>TO</w:t>
            </w:r>
            <w:r w:rsidRPr="00B971D9">
              <w:rPr>
                <w:sz w:val="28"/>
                <w:szCs w:val="28"/>
              </w:rPr>
              <w:t xml:space="preserve"> AMEND </w:t>
            </w:r>
            <w:r w:rsidR="00DF58F7" w:rsidRPr="00B971D9">
              <w:rPr>
                <w:sz w:val="28"/>
                <w:szCs w:val="28"/>
              </w:rPr>
              <w:t xml:space="preserve">PARTS OF </w:t>
            </w:r>
            <w:r w:rsidRPr="00B971D9">
              <w:rPr>
                <w:sz w:val="28"/>
                <w:szCs w:val="28"/>
              </w:rPr>
              <w:t>RULE</w:t>
            </w:r>
            <w:r w:rsidR="00DF58F7" w:rsidRPr="00B971D9">
              <w:rPr>
                <w:sz w:val="28"/>
                <w:szCs w:val="28"/>
              </w:rPr>
              <w:t xml:space="preserve"> 42</w:t>
            </w:r>
            <w:r w:rsidRPr="00B971D9">
              <w:rPr>
                <w:sz w:val="28"/>
                <w:szCs w:val="28"/>
              </w:rPr>
              <w:t>, RULES OF THE SUPREME COURT OF ARIZONA</w:t>
            </w:r>
            <w:r w:rsidR="007D4183" w:rsidRPr="00B971D9">
              <w:rPr>
                <w:sz w:val="28"/>
                <w:szCs w:val="28"/>
              </w:rPr>
              <w:t xml:space="preserve"> (ETHICAL RULES 1.0, </w:t>
            </w:r>
            <w:r w:rsidR="004579B4" w:rsidRPr="00B971D9">
              <w:rPr>
                <w:sz w:val="28"/>
                <w:szCs w:val="28"/>
              </w:rPr>
              <w:t>1.2, 1.7, 1.9, 1.10, 1.13, 1.16, 5.1, 5.2 AND 8.4)</w:t>
            </w:r>
          </w:p>
        </w:tc>
        <w:tc>
          <w:tcPr>
            <w:tcW w:w="4788" w:type="dxa"/>
            <w:tcBorders>
              <w:top w:val="nil"/>
              <w:bottom w:val="nil"/>
              <w:right w:val="nil"/>
            </w:tcBorders>
          </w:tcPr>
          <w:p w:rsidR="007F129B" w:rsidRPr="00B971D9" w:rsidRDefault="002578BC" w:rsidP="002578BC">
            <w:pPr>
              <w:ind w:left="248"/>
              <w:rPr>
                <w:sz w:val="28"/>
                <w:szCs w:val="28"/>
              </w:rPr>
            </w:pPr>
            <w:bookmarkStart w:id="4" w:name="CaseNumber"/>
            <w:bookmarkEnd w:id="4"/>
            <w:r w:rsidRPr="00B971D9">
              <w:rPr>
                <w:sz w:val="28"/>
                <w:szCs w:val="28"/>
              </w:rPr>
              <w:t>Supreme Court No. R-22-_____</w:t>
            </w:r>
          </w:p>
          <w:p w:rsidR="007F129B" w:rsidRPr="00B971D9" w:rsidRDefault="007F129B" w:rsidP="002578BC">
            <w:pPr>
              <w:ind w:left="248"/>
              <w:rPr>
                <w:b/>
                <w:sz w:val="28"/>
                <w:szCs w:val="28"/>
              </w:rPr>
            </w:pPr>
            <w:bookmarkStart w:id="5" w:name="Title"/>
            <w:bookmarkEnd w:id="5"/>
          </w:p>
          <w:p w:rsidR="002578BC" w:rsidRPr="00B971D9" w:rsidRDefault="002578BC" w:rsidP="002578BC">
            <w:pPr>
              <w:ind w:left="248"/>
              <w:rPr>
                <w:b/>
                <w:sz w:val="28"/>
                <w:szCs w:val="28"/>
              </w:rPr>
            </w:pPr>
            <w:r w:rsidRPr="00B971D9">
              <w:rPr>
                <w:b/>
                <w:sz w:val="28"/>
                <w:szCs w:val="28"/>
              </w:rPr>
              <w:t>RULE 28 PETITION</w:t>
            </w:r>
          </w:p>
          <w:p w:rsidR="007F129B" w:rsidRPr="00B971D9" w:rsidRDefault="007F129B">
            <w:pPr>
              <w:pStyle w:val="Caption-RightSide"/>
              <w:rPr>
                <w:sz w:val="28"/>
                <w:szCs w:val="28"/>
              </w:rPr>
            </w:pPr>
            <w:bookmarkStart w:id="6" w:name="OralArgument"/>
            <w:bookmarkStart w:id="7" w:name="Judge"/>
            <w:bookmarkEnd w:id="6"/>
            <w:bookmarkEnd w:id="7"/>
          </w:p>
        </w:tc>
      </w:tr>
    </w:tbl>
    <w:p w:rsidR="00DF58F7" w:rsidRPr="00B971D9" w:rsidRDefault="00DF58F7" w:rsidP="00DF58F7">
      <w:pPr>
        <w:spacing w:line="240" w:lineRule="auto"/>
        <w:rPr>
          <w:sz w:val="28"/>
          <w:szCs w:val="28"/>
        </w:rPr>
      </w:pPr>
    </w:p>
    <w:p w:rsidR="00A912A1" w:rsidRPr="00B971D9" w:rsidRDefault="00DF58F7" w:rsidP="00B971D9">
      <w:pPr>
        <w:spacing w:line="480" w:lineRule="auto"/>
        <w:jc w:val="both"/>
        <w:rPr>
          <w:sz w:val="28"/>
          <w:szCs w:val="28"/>
        </w:rPr>
      </w:pPr>
      <w:r w:rsidRPr="00B971D9">
        <w:rPr>
          <w:sz w:val="28"/>
          <w:szCs w:val="28"/>
        </w:rPr>
        <w:tab/>
        <w:t>Petitioner respectfully submits this petition on behalf of the Arizona Attorney General’s Office.</w:t>
      </w:r>
      <w:r w:rsidR="009C0208">
        <w:rPr>
          <w:sz w:val="28"/>
          <w:szCs w:val="28"/>
        </w:rPr>
        <w:t xml:space="preserve"> </w:t>
      </w:r>
    </w:p>
    <w:p w:rsidR="00A438C4" w:rsidRPr="00B971D9" w:rsidRDefault="00A912A1" w:rsidP="00E724D6">
      <w:pPr>
        <w:spacing w:line="480" w:lineRule="auto"/>
        <w:jc w:val="center"/>
        <w:rPr>
          <w:b/>
          <w:sz w:val="28"/>
          <w:szCs w:val="28"/>
        </w:rPr>
      </w:pPr>
      <w:r w:rsidRPr="00B971D9">
        <w:rPr>
          <w:b/>
          <w:sz w:val="28"/>
          <w:szCs w:val="28"/>
        </w:rPr>
        <w:t>Introduction</w:t>
      </w:r>
    </w:p>
    <w:p w:rsidR="00DF58F7" w:rsidRPr="00B971D9" w:rsidRDefault="00A438C4" w:rsidP="00B971D9">
      <w:pPr>
        <w:spacing w:line="480" w:lineRule="auto"/>
        <w:jc w:val="both"/>
        <w:rPr>
          <w:sz w:val="28"/>
          <w:szCs w:val="28"/>
        </w:rPr>
      </w:pPr>
      <w:r w:rsidRPr="00B971D9">
        <w:rPr>
          <w:sz w:val="28"/>
          <w:szCs w:val="28"/>
        </w:rPr>
        <w:tab/>
      </w:r>
      <w:r w:rsidR="00DF58F7" w:rsidRPr="00B971D9">
        <w:rPr>
          <w:sz w:val="28"/>
          <w:szCs w:val="28"/>
        </w:rPr>
        <w:t xml:space="preserve">This Petition seeks to provide clarity and guidance for all Arizona government lawyers, their clients, </w:t>
      </w:r>
      <w:r w:rsidR="008941AC" w:rsidRPr="00B971D9">
        <w:rPr>
          <w:sz w:val="28"/>
          <w:szCs w:val="28"/>
        </w:rPr>
        <w:t xml:space="preserve">and the State Bar of Arizona, </w:t>
      </w:r>
      <w:r w:rsidR="00DF58F7" w:rsidRPr="00B971D9">
        <w:rPr>
          <w:sz w:val="28"/>
          <w:szCs w:val="28"/>
        </w:rPr>
        <w:t xml:space="preserve">in regard to </w:t>
      </w:r>
      <w:r w:rsidR="008941AC" w:rsidRPr="00B971D9">
        <w:rPr>
          <w:sz w:val="28"/>
          <w:szCs w:val="28"/>
        </w:rPr>
        <w:t>government</w:t>
      </w:r>
      <w:r w:rsidR="00DF58F7" w:rsidRPr="00B971D9">
        <w:rPr>
          <w:sz w:val="28"/>
          <w:szCs w:val="28"/>
        </w:rPr>
        <w:t xml:space="preserve"> lawyers’ obligations as members of the legal profession</w:t>
      </w:r>
      <w:r w:rsidR="008941AC" w:rsidRPr="00B971D9">
        <w:rPr>
          <w:sz w:val="28"/>
          <w:szCs w:val="28"/>
        </w:rPr>
        <w:t>,</w:t>
      </w:r>
      <w:r w:rsidR="00DF58F7" w:rsidRPr="00B971D9">
        <w:rPr>
          <w:sz w:val="28"/>
          <w:szCs w:val="28"/>
        </w:rPr>
        <w:t xml:space="preserve"> whose conduct can be governed, not only by the Arizona Rules of Professional Conduct</w:t>
      </w:r>
      <w:r w:rsidR="008941AC" w:rsidRPr="00B971D9">
        <w:rPr>
          <w:sz w:val="28"/>
          <w:szCs w:val="28"/>
        </w:rPr>
        <w:t xml:space="preserve"> (the “Ethical Rules”)</w:t>
      </w:r>
      <w:r w:rsidR="00DF58F7" w:rsidRPr="00B971D9">
        <w:rPr>
          <w:sz w:val="28"/>
          <w:szCs w:val="28"/>
        </w:rPr>
        <w:t>, but also by other law</w:t>
      </w:r>
      <w:r w:rsidR="008941AC" w:rsidRPr="00B971D9">
        <w:rPr>
          <w:sz w:val="28"/>
          <w:szCs w:val="28"/>
        </w:rPr>
        <w:t>,</w:t>
      </w:r>
      <w:r w:rsidR="00DF58F7" w:rsidRPr="00B971D9">
        <w:rPr>
          <w:sz w:val="28"/>
          <w:szCs w:val="28"/>
        </w:rPr>
        <w:t xml:space="preserve"> including the state and federal constitution</w:t>
      </w:r>
      <w:r w:rsidR="008941AC" w:rsidRPr="00B971D9">
        <w:rPr>
          <w:sz w:val="28"/>
          <w:szCs w:val="28"/>
        </w:rPr>
        <w:t>s</w:t>
      </w:r>
      <w:r w:rsidR="00DF58F7" w:rsidRPr="00B971D9">
        <w:rPr>
          <w:sz w:val="28"/>
          <w:szCs w:val="28"/>
        </w:rPr>
        <w:t>, statutes, city charters</w:t>
      </w:r>
      <w:r w:rsidR="008941AC" w:rsidRPr="00B971D9">
        <w:rPr>
          <w:sz w:val="28"/>
          <w:szCs w:val="28"/>
        </w:rPr>
        <w:t>, codes and ordinances</w:t>
      </w:r>
      <w:r w:rsidR="00DF58F7" w:rsidRPr="00B971D9">
        <w:rPr>
          <w:sz w:val="28"/>
          <w:szCs w:val="28"/>
        </w:rPr>
        <w:t xml:space="preserve">, and in some </w:t>
      </w:r>
      <w:r w:rsidR="00DF58F7" w:rsidRPr="00B971D9">
        <w:rPr>
          <w:sz w:val="28"/>
          <w:szCs w:val="28"/>
        </w:rPr>
        <w:lastRenderedPageBreak/>
        <w:t xml:space="preserve">circumstances, the common law. </w:t>
      </w:r>
      <w:r w:rsidR="007D4183" w:rsidRPr="00B971D9">
        <w:rPr>
          <w:sz w:val="28"/>
          <w:szCs w:val="28"/>
        </w:rPr>
        <w:t>Under certain circumstances, government lawyers currently can struggle to</w:t>
      </w:r>
      <w:r w:rsidR="00DF58F7" w:rsidRPr="00B971D9">
        <w:rPr>
          <w:sz w:val="28"/>
          <w:szCs w:val="28"/>
        </w:rPr>
        <w:t xml:space="preserve"> harmon</w:t>
      </w:r>
      <w:r w:rsidR="007D4183" w:rsidRPr="00B971D9">
        <w:rPr>
          <w:sz w:val="28"/>
          <w:szCs w:val="28"/>
        </w:rPr>
        <w:t>ize</w:t>
      </w:r>
      <w:r w:rsidR="00DF58F7" w:rsidRPr="00B971D9">
        <w:rPr>
          <w:sz w:val="28"/>
          <w:szCs w:val="28"/>
        </w:rPr>
        <w:t xml:space="preserve"> the</w:t>
      </w:r>
      <w:r w:rsidR="007D4183" w:rsidRPr="00B971D9">
        <w:rPr>
          <w:sz w:val="28"/>
          <w:szCs w:val="28"/>
        </w:rPr>
        <w:t>ir</w:t>
      </w:r>
      <w:r w:rsidR="00DF58F7" w:rsidRPr="00B971D9">
        <w:rPr>
          <w:sz w:val="28"/>
          <w:szCs w:val="28"/>
        </w:rPr>
        <w:t xml:space="preserve"> ethical and legal obligations</w:t>
      </w:r>
      <w:r w:rsidR="007D4183" w:rsidRPr="00B971D9">
        <w:rPr>
          <w:sz w:val="28"/>
          <w:szCs w:val="28"/>
        </w:rPr>
        <w:t xml:space="preserve"> due to a lack of specificity in the Ethical Rules in respect to the unique circumstances that pertain to them</w:t>
      </w:r>
      <w:r w:rsidR="00DF58F7" w:rsidRPr="00B971D9">
        <w:rPr>
          <w:sz w:val="28"/>
          <w:szCs w:val="28"/>
        </w:rPr>
        <w:t>.</w:t>
      </w:r>
    </w:p>
    <w:p w:rsidR="00DF58F7" w:rsidRPr="00B971D9" w:rsidRDefault="00DF58F7" w:rsidP="00B971D9">
      <w:pPr>
        <w:spacing w:line="480" w:lineRule="auto"/>
        <w:jc w:val="both"/>
        <w:rPr>
          <w:sz w:val="28"/>
          <w:szCs w:val="28"/>
        </w:rPr>
      </w:pPr>
      <w:r w:rsidRPr="00B971D9">
        <w:rPr>
          <w:sz w:val="28"/>
          <w:szCs w:val="28"/>
        </w:rPr>
        <w:tab/>
        <w:t xml:space="preserve">The Ethical Rules currently recognize the </w:t>
      </w:r>
      <w:r w:rsidR="008941AC" w:rsidRPr="00B971D9">
        <w:rPr>
          <w:sz w:val="28"/>
          <w:szCs w:val="28"/>
        </w:rPr>
        <w:t xml:space="preserve">existence of </w:t>
      </w:r>
      <w:r w:rsidRPr="00B971D9">
        <w:rPr>
          <w:sz w:val="28"/>
          <w:szCs w:val="28"/>
        </w:rPr>
        <w:t xml:space="preserve">competing obligations of government lawyers. </w:t>
      </w:r>
      <w:r w:rsidR="008941AC" w:rsidRPr="00B971D9">
        <w:rPr>
          <w:sz w:val="28"/>
          <w:szCs w:val="28"/>
        </w:rPr>
        <w:t xml:space="preserve">For example, </w:t>
      </w:r>
      <w:r w:rsidRPr="00B971D9">
        <w:rPr>
          <w:sz w:val="28"/>
          <w:szCs w:val="28"/>
        </w:rPr>
        <w:t xml:space="preserve">Paragraph [18] of the Preamble to the Ethical Rules describes </w:t>
      </w:r>
      <w:r w:rsidR="008941AC" w:rsidRPr="00B971D9">
        <w:rPr>
          <w:sz w:val="28"/>
          <w:szCs w:val="28"/>
        </w:rPr>
        <w:t>government lawyers’ special circumstances</w:t>
      </w:r>
      <w:r w:rsidRPr="00B971D9">
        <w:rPr>
          <w:sz w:val="28"/>
          <w:szCs w:val="28"/>
        </w:rPr>
        <w:t xml:space="preserve"> as follows:</w:t>
      </w:r>
    </w:p>
    <w:p w:rsidR="00DF58F7" w:rsidRPr="00B971D9" w:rsidRDefault="00DF58F7" w:rsidP="001729EF">
      <w:pPr>
        <w:spacing w:line="240" w:lineRule="auto"/>
        <w:ind w:left="1440" w:right="1440"/>
        <w:jc w:val="both"/>
        <w:rPr>
          <w:sz w:val="28"/>
          <w:szCs w:val="28"/>
        </w:rPr>
      </w:pPr>
      <w:r w:rsidRPr="00B971D9">
        <w:rPr>
          <w:sz w:val="28"/>
          <w:szCs w:val="28"/>
        </w:rPr>
        <w:t>Under various legal provisions, including constitutional, statutory and common law, the responsibilities of government lawyers may include authority concerning legal matters that ordinarily reposes in the client in private client-lawyer relationships. For example, a lawyer for a government agency may have authority on behalf of the government to decide upon settlement or whether to appeal from an adverse judgment. Such authority in various respects is generally vested in the attorney general and the state’s attorney in state government, and their federal counterparts, and the same may be true of other government law officers. Also, lawyers under the supervision of these officers may be authorized to represent several governmental agencies in intragovernmental legal controversies where a private lawyer could not represent multiple clients. They also may have authority to represent the “public interest</w:t>
      </w:r>
      <w:r w:rsidR="007A3CC6">
        <w:rPr>
          <w:sz w:val="28"/>
          <w:szCs w:val="28"/>
        </w:rPr>
        <w:t>”</w:t>
      </w:r>
      <w:r w:rsidRPr="00B971D9">
        <w:rPr>
          <w:sz w:val="28"/>
          <w:szCs w:val="28"/>
        </w:rPr>
        <w:t xml:space="preserve"> in circumstances where a private lawyer may not be authorized to do so. The Rules do not abrogate any such authority.</w:t>
      </w:r>
    </w:p>
    <w:p w:rsidR="00DF58F7" w:rsidRPr="00B971D9" w:rsidRDefault="00DF58F7" w:rsidP="00B971D9">
      <w:pPr>
        <w:spacing w:before="240" w:line="480" w:lineRule="auto"/>
        <w:rPr>
          <w:sz w:val="28"/>
          <w:szCs w:val="28"/>
        </w:rPr>
      </w:pPr>
      <w:r w:rsidRPr="00B971D9">
        <w:rPr>
          <w:sz w:val="28"/>
          <w:szCs w:val="28"/>
        </w:rPr>
        <w:t>Similarly, comment [9] to ER 1.13 states:</w:t>
      </w:r>
    </w:p>
    <w:p w:rsidR="00DF58F7" w:rsidRPr="00B971D9" w:rsidRDefault="00DF58F7" w:rsidP="001729EF">
      <w:pPr>
        <w:spacing w:line="240" w:lineRule="auto"/>
        <w:ind w:left="1440" w:right="1440"/>
        <w:jc w:val="both"/>
        <w:rPr>
          <w:sz w:val="28"/>
          <w:szCs w:val="28"/>
        </w:rPr>
      </w:pPr>
      <w:r w:rsidRPr="00B971D9">
        <w:rPr>
          <w:sz w:val="28"/>
          <w:szCs w:val="28"/>
        </w:rPr>
        <w:t xml:space="preserve">The duty defined in this Rule applies to governmental organizations. Defining precisely the identity of the client and prescribing the resulting obligations of lawyers may </w:t>
      </w:r>
      <w:r w:rsidRPr="00B971D9">
        <w:rPr>
          <w:sz w:val="28"/>
          <w:szCs w:val="28"/>
        </w:rPr>
        <w:lastRenderedPageBreak/>
        <w:t xml:space="preserve">be difficult in the governmental context. See [Preamble] [18]. Although in some circumstances the client may be a specific agency, it may also be a branch of government, such as the executive branch, or the government as a whole. For example, if the action or failure to act involves the head of a bureau, either the department of which the bureau is a part or the relevant branch of government may be the client for purposes of this Rule. Moreover, in a matter involving the conduct of government officials, a government lawyer may have authority to question such conduct more extensively than that of a lawyer for a private organization in similar circumstances. </w:t>
      </w:r>
      <w:r w:rsidR="007A3CC6" w:rsidRPr="007A3CC6">
        <w:rPr>
          <w:sz w:val="28"/>
          <w:szCs w:val="28"/>
        </w:rPr>
        <w:t>Thu</w:t>
      </w:r>
      <w:r w:rsidRPr="007A3CC6">
        <w:rPr>
          <w:sz w:val="28"/>
          <w:szCs w:val="28"/>
        </w:rPr>
        <w:t>s</w:t>
      </w:r>
      <w:r w:rsidRPr="00B971D9">
        <w:rPr>
          <w:sz w:val="28"/>
          <w:szCs w:val="28"/>
        </w:rPr>
        <w:t xml:space="preserve"> when the client is a governmental organization, a different balance may be appropriate between maintaining confidentiality and assuring that the wrongful act is prevented or rectified, for public business is involved.  In addition, duties of lawyers employed by the government or lawyers in military service may be defined by statutes or regulation. See [Preamble]. Government lawyers also may have authority to represent the “public interest” in circumstances where a private lawyer would not be authorized to do so.</w:t>
      </w:r>
    </w:p>
    <w:p w:rsidR="007D4183" w:rsidRPr="00B971D9" w:rsidRDefault="007D4183" w:rsidP="00B971D9">
      <w:pPr>
        <w:spacing w:before="240" w:line="480" w:lineRule="auto"/>
        <w:jc w:val="both"/>
        <w:rPr>
          <w:sz w:val="28"/>
          <w:szCs w:val="28"/>
        </w:rPr>
      </w:pPr>
      <w:r w:rsidRPr="00B971D9">
        <w:rPr>
          <w:b/>
          <w:sz w:val="28"/>
          <w:szCs w:val="28"/>
        </w:rPr>
        <w:tab/>
      </w:r>
      <w:r w:rsidR="00A912A1" w:rsidRPr="00B971D9">
        <w:rPr>
          <w:sz w:val="28"/>
          <w:szCs w:val="28"/>
        </w:rPr>
        <w:t>T</w:t>
      </w:r>
      <w:r w:rsidRPr="00B971D9">
        <w:rPr>
          <w:sz w:val="28"/>
          <w:szCs w:val="28"/>
        </w:rPr>
        <w:t xml:space="preserve">hese passages from the Ethical Rules </w:t>
      </w:r>
      <w:r w:rsidRPr="00B971D9">
        <w:rPr>
          <w:i/>
          <w:sz w:val="28"/>
          <w:szCs w:val="28"/>
        </w:rPr>
        <w:t>describe</w:t>
      </w:r>
      <w:r w:rsidRPr="00B971D9">
        <w:rPr>
          <w:sz w:val="28"/>
          <w:szCs w:val="28"/>
        </w:rPr>
        <w:t xml:space="preserve"> the fact that public lawyers’ duties and obligations differ materially from those of private sector lawyers</w:t>
      </w:r>
      <w:r w:rsidR="008941AC" w:rsidRPr="00B971D9">
        <w:rPr>
          <w:sz w:val="28"/>
          <w:szCs w:val="28"/>
        </w:rPr>
        <w:t>; however,</w:t>
      </w:r>
      <w:r w:rsidR="00A912A1" w:rsidRPr="00B971D9">
        <w:rPr>
          <w:sz w:val="28"/>
          <w:szCs w:val="28"/>
        </w:rPr>
        <w:t xml:space="preserve"> </w:t>
      </w:r>
      <w:r w:rsidRPr="00B971D9">
        <w:rPr>
          <w:sz w:val="28"/>
          <w:szCs w:val="28"/>
        </w:rPr>
        <w:t xml:space="preserve">the </w:t>
      </w:r>
      <w:r w:rsidR="008941AC" w:rsidRPr="00B971D9">
        <w:rPr>
          <w:sz w:val="28"/>
          <w:szCs w:val="28"/>
        </w:rPr>
        <w:t xml:space="preserve">Ethical </w:t>
      </w:r>
      <w:r w:rsidRPr="00B971D9">
        <w:rPr>
          <w:sz w:val="28"/>
          <w:szCs w:val="28"/>
        </w:rPr>
        <w:t xml:space="preserve">Rules currently do not provide guidance to government lawyers, </w:t>
      </w:r>
      <w:r w:rsidR="008941AC" w:rsidRPr="00B971D9">
        <w:rPr>
          <w:sz w:val="28"/>
          <w:szCs w:val="28"/>
        </w:rPr>
        <w:t xml:space="preserve">their clients, </w:t>
      </w:r>
      <w:r w:rsidRPr="00B971D9">
        <w:rPr>
          <w:sz w:val="28"/>
          <w:szCs w:val="28"/>
        </w:rPr>
        <w:t xml:space="preserve">or the State Bar of Arizona, about </w:t>
      </w:r>
      <w:r w:rsidRPr="007A3CC6">
        <w:rPr>
          <w:i/>
          <w:sz w:val="28"/>
          <w:szCs w:val="28"/>
        </w:rPr>
        <w:t>how</w:t>
      </w:r>
      <w:r w:rsidRPr="00B971D9">
        <w:rPr>
          <w:sz w:val="28"/>
          <w:szCs w:val="28"/>
        </w:rPr>
        <w:t xml:space="preserve"> to properly interpret and apply </w:t>
      </w:r>
      <w:r w:rsidR="00A912A1" w:rsidRPr="00B971D9">
        <w:rPr>
          <w:sz w:val="28"/>
          <w:szCs w:val="28"/>
        </w:rPr>
        <w:t>the Ethical Rules</w:t>
      </w:r>
      <w:r w:rsidRPr="00B971D9">
        <w:rPr>
          <w:sz w:val="28"/>
          <w:szCs w:val="28"/>
        </w:rPr>
        <w:t xml:space="preserve"> to government lawyers in some circumstances.</w:t>
      </w:r>
    </w:p>
    <w:p w:rsidR="007D4183" w:rsidRDefault="007D4183" w:rsidP="00B971D9">
      <w:pPr>
        <w:spacing w:line="480" w:lineRule="auto"/>
        <w:jc w:val="both"/>
        <w:rPr>
          <w:sz w:val="28"/>
          <w:szCs w:val="28"/>
        </w:rPr>
      </w:pPr>
      <w:r w:rsidRPr="00B971D9">
        <w:rPr>
          <w:sz w:val="28"/>
          <w:szCs w:val="28"/>
        </w:rPr>
        <w:tab/>
        <w:t>The objective of this Petition</w:t>
      </w:r>
      <w:r w:rsidR="00A912A1" w:rsidRPr="00B971D9">
        <w:rPr>
          <w:sz w:val="28"/>
          <w:szCs w:val="28"/>
        </w:rPr>
        <w:t>, therefore,</w:t>
      </w:r>
      <w:r w:rsidRPr="00B971D9">
        <w:rPr>
          <w:sz w:val="28"/>
          <w:szCs w:val="28"/>
        </w:rPr>
        <w:t xml:space="preserve"> is to provide clarity in the application and interpretation of the Ethical Rules as they pertain to </w:t>
      </w:r>
      <w:r w:rsidR="00A912A1" w:rsidRPr="00B971D9">
        <w:rPr>
          <w:sz w:val="28"/>
          <w:szCs w:val="28"/>
        </w:rPr>
        <w:t xml:space="preserve">the </w:t>
      </w:r>
      <w:r w:rsidRPr="00B971D9">
        <w:rPr>
          <w:sz w:val="28"/>
          <w:szCs w:val="28"/>
        </w:rPr>
        <w:t>obligations and authority of</w:t>
      </w:r>
      <w:r w:rsidR="00A912A1" w:rsidRPr="00B971D9">
        <w:rPr>
          <w:sz w:val="28"/>
          <w:szCs w:val="28"/>
        </w:rPr>
        <w:t xml:space="preserve"> government lawyers that derive</w:t>
      </w:r>
      <w:r w:rsidRPr="00B971D9">
        <w:rPr>
          <w:sz w:val="28"/>
          <w:szCs w:val="28"/>
        </w:rPr>
        <w:t xml:space="preserve"> from other law.</w:t>
      </w:r>
    </w:p>
    <w:p w:rsidR="00B971D9" w:rsidRPr="00B971D9" w:rsidRDefault="00B971D9" w:rsidP="00B971D9">
      <w:pPr>
        <w:spacing w:line="480" w:lineRule="auto"/>
        <w:jc w:val="both"/>
        <w:rPr>
          <w:sz w:val="28"/>
          <w:szCs w:val="28"/>
        </w:rPr>
      </w:pPr>
    </w:p>
    <w:p w:rsidR="00DF58F7" w:rsidRPr="00B971D9" w:rsidRDefault="00DF58F7" w:rsidP="00B971D9">
      <w:pPr>
        <w:spacing w:line="240" w:lineRule="auto"/>
        <w:jc w:val="center"/>
        <w:rPr>
          <w:sz w:val="28"/>
          <w:szCs w:val="28"/>
        </w:rPr>
      </w:pPr>
      <w:r w:rsidRPr="00B971D9">
        <w:rPr>
          <w:b/>
          <w:sz w:val="28"/>
          <w:szCs w:val="28"/>
        </w:rPr>
        <w:lastRenderedPageBreak/>
        <w:t>Authority</w:t>
      </w:r>
      <w:r w:rsidR="00FE5D14">
        <w:rPr>
          <w:b/>
          <w:sz w:val="28"/>
          <w:szCs w:val="28"/>
        </w:rPr>
        <w:t xml:space="preserve"> and Obligations of Government</w:t>
      </w:r>
      <w:r w:rsidRPr="00B971D9">
        <w:rPr>
          <w:b/>
          <w:sz w:val="28"/>
          <w:szCs w:val="28"/>
        </w:rPr>
        <w:t xml:space="preserve"> Lawyers as Mandated by Other Law</w:t>
      </w:r>
    </w:p>
    <w:p w:rsidR="00DF58F7" w:rsidRPr="00B971D9" w:rsidRDefault="00A912A1" w:rsidP="00B971D9">
      <w:pPr>
        <w:spacing w:before="240" w:line="480" w:lineRule="auto"/>
        <w:jc w:val="both"/>
        <w:rPr>
          <w:sz w:val="28"/>
          <w:szCs w:val="28"/>
        </w:rPr>
      </w:pPr>
      <w:r w:rsidRPr="00B971D9">
        <w:rPr>
          <w:sz w:val="28"/>
          <w:szCs w:val="28"/>
        </w:rPr>
        <w:tab/>
      </w:r>
      <w:r w:rsidR="00FC60D7" w:rsidRPr="00B971D9">
        <w:rPr>
          <w:sz w:val="28"/>
          <w:szCs w:val="28"/>
        </w:rPr>
        <w:t>A</w:t>
      </w:r>
      <w:r w:rsidRPr="00B971D9">
        <w:rPr>
          <w:sz w:val="28"/>
          <w:szCs w:val="28"/>
        </w:rPr>
        <w:t>n illustrative</w:t>
      </w:r>
      <w:r w:rsidR="00FC60D7" w:rsidRPr="00B971D9">
        <w:rPr>
          <w:sz w:val="28"/>
          <w:szCs w:val="28"/>
        </w:rPr>
        <w:t xml:space="preserve"> sampl</w:t>
      </w:r>
      <w:r w:rsidRPr="00B971D9">
        <w:rPr>
          <w:sz w:val="28"/>
          <w:szCs w:val="28"/>
        </w:rPr>
        <w:t>ing</w:t>
      </w:r>
      <w:r w:rsidR="00FC60D7" w:rsidRPr="00B971D9">
        <w:rPr>
          <w:sz w:val="28"/>
          <w:szCs w:val="28"/>
        </w:rPr>
        <w:t xml:space="preserve"> of </w:t>
      </w:r>
      <w:r w:rsidRPr="00B971D9">
        <w:rPr>
          <w:sz w:val="28"/>
          <w:szCs w:val="28"/>
        </w:rPr>
        <w:t xml:space="preserve">the </w:t>
      </w:r>
      <w:r w:rsidR="00FC60D7" w:rsidRPr="00B971D9">
        <w:rPr>
          <w:sz w:val="28"/>
          <w:szCs w:val="28"/>
        </w:rPr>
        <w:t xml:space="preserve">legal requirements that pertain to and govern the conduct of Arizona government lawyers is included in </w:t>
      </w:r>
      <w:r w:rsidR="00FC60D7" w:rsidRPr="00B971D9">
        <w:rPr>
          <w:b/>
          <w:sz w:val="28"/>
          <w:szCs w:val="28"/>
        </w:rPr>
        <w:t xml:space="preserve">Appendix </w:t>
      </w:r>
      <w:r w:rsidR="000B0A09" w:rsidRPr="00B971D9">
        <w:rPr>
          <w:b/>
          <w:sz w:val="28"/>
          <w:szCs w:val="28"/>
        </w:rPr>
        <w:t>“B”</w:t>
      </w:r>
      <w:r w:rsidR="00FC60D7" w:rsidRPr="00B971D9">
        <w:rPr>
          <w:sz w:val="28"/>
          <w:szCs w:val="28"/>
        </w:rPr>
        <w:t xml:space="preserve"> hereto</w:t>
      </w:r>
      <w:r w:rsidR="000B0A09" w:rsidRPr="00B971D9">
        <w:rPr>
          <w:sz w:val="28"/>
          <w:szCs w:val="28"/>
        </w:rPr>
        <w:t>.</w:t>
      </w:r>
    </w:p>
    <w:p w:rsidR="00DF58F7" w:rsidRPr="00B971D9" w:rsidRDefault="00A912A1" w:rsidP="00E724D6">
      <w:pPr>
        <w:spacing w:line="480" w:lineRule="auto"/>
        <w:jc w:val="center"/>
        <w:rPr>
          <w:sz w:val="28"/>
          <w:szCs w:val="28"/>
        </w:rPr>
      </w:pPr>
      <w:r w:rsidRPr="00B971D9">
        <w:rPr>
          <w:b/>
          <w:sz w:val="28"/>
          <w:szCs w:val="28"/>
        </w:rPr>
        <w:t>Overview</w:t>
      </w:r>
      <w:r w:rsidR="00DF58F7" w:rsidRPr="00B971D9">
        <w:rPr>
          <w:b/>
          <w:sz w:val="28"/>
          <w:szCs w:val="28"/>
        </w:rPr>
        <w:t xml:space="preserve"> of Proposed Rule Amendments</w:t>
      </w:r>
    </w:p>
    <w:p w:rsidR="00DF58F7" w:rsidRPr="00B971D9" w:rsidRDefault="00DF58F7" w:rsidP="00B971D9">
      <w:pPr>
        <w:spacing w:line="480" w:lineRule="auto"/>
        <w:jc w:val="both"/>
        <w:rPr>
          <w:sz w:val="28"/>
          <w:szCs w:val="28"/>
        </w:rPr>
      </w:pPr>
      <w:r w:rsidRPr="00B971D9">
        <w:rPr>
          <w:sz w:val="28"/>
          <w:szCs w:val="28"/>
        </w:rPr>
        <w:tab/>
        <w:t>The rule amendments proposed herein</w:t>
      </w:r>
      <w:r w:rsidR="003B0122" w:rsidRPr="00B971D9">
        <w:rPr>
          <w:sz w:val="28"/>
          <w:szCs w:val="28"/>
        </w:rPr>
        <w:t xml:space="preserve"> are derived from and </w:t>
      </w:r>
      <w:r w:rsidR="007A3CC6">
        <w:rPr>
          <w:sz w:val="28"/>
          <w:szCs w:val="28"/>
        </w:rPr>
        <w:t xml:space="preserve">are </w:t>
      </w:r>
      <w:r w:rsidR="003B0122" w:rsidRPr="00B971D9">
        <w:rPr>
          <w:sz w:val="28"/>
          <w:szCs w:val="28"/>
        </w:rPr>
        <w:t>consistent with the practices of Arizona Attorneys General for decades and are intended to</w:t>
      </w:r>
      <w:r w:rsidRPr="00B971D9">
        <w:rPr>
          <w:sz w:val="28"/>
          <w:szCs w:val="28"/>
        </w:rPr>
        <w:t xml:space="preserve"> </w:t>
      </w:r>
      <w:r w:rsidR="00A912A1" w:rsidRPr="00B971D9">
        <w:rPr>
          <w:sz w:val="28"/>
          <w:szCs w:val="28"/>
        </w:rPr>
        <w:t xml:space="preserve">address </w:t>
      </w:r>
      <w:r w:rsidR="003B0122" w:rsidRPr="00B971D9">
        <w:rPr>
          <w:sz w:val="28"/>
          <w:szCs w:val="28"/>
        </w:rPr>
        <w:t xml:space="preserve">through clarity in the Ethical Rules specific </w:t>
      </w:r>
      <w:r w:rsidR="00A912A1" w:rsidRPr="00B971D9">
        <w:rPr>
          <w:sz w:val="28"/>
          <w:szCs w:val="28"/>
        </w:rPr>
        <w:t xml:space="preserve">situations where </w:t>
      </w:r>
      <w:r w:rsidRPr="00B971D9">
        <w:rPr>
          <w:sz w:val="28"/>
          <w:szCs w:val="28"/>
        </w:rPr>
        <w:t xml:space="preserve">other law </w:t>
      </w:r>
      <w:r w:rsidR="00FC60D7" w:rsidRPr="00B971D9">
        <w:rPr>
          <w:sz w:val="28"/>
          <w:szCs w:val="28"/>
        </w:rPr>
        <w:t xml:space="preserve">authorizes or </w:t>
      </w:r>
      <w:r w:rsidRPr="00B971D9">
        <w:rPr>
          <w:sz w:val="28"/>
          <w:szCs w:val="28"/>
        </w:rPr>
        <w:t xml:space="preserve">mandates </w:t>
      </w:r>
      <w:r w:rsidR="00FC60D7" w:rsidRPr="00B971D9">
        <w:rPr>
          <w:sz w:val="28"/>
          <w:szCs w:val="28"/>
        </w:rPr>
        <w:t xml:space="preserve">that </w:t>
      </w:r>
      <w:r w:rsidRPr="00B971D9">
        <w:rPr>
          <w:sz w:val="28"/>
          <w:szCs w:val="28"/>
        </w:rPr>
        <w:t>a government lawyer investigate and/or pursue an action (civil or criminal) again</w:t>
      </w:r>
      <w:r w:rsidR="00FE5D14">
        <w:rPr>
          <w:sz w:val="28"/>
          <w:szCs w:val="28"/>
        </w:rPr>
        <w:t>st a government</w:t>
      </w:r>
      <w:r w:rsidRPr="00B971D9">
        <w:rPr>
          <w:sz w:val="28"/>
          <w:szCs w:val="28"/>
        </w:rPr>
        <w:t xml:space="preserve"> actor or agency that in other circumstances</w:t>
      </w:r>
      <w:r w:rsidR="00FE5D14">
        <w:rPr>
          <w:sz w:val="28"/>
          <w:szCs w:val="28"/>
        </w:rPr>
        <w:t xml:space="preserve"> is a client of the government</w:t>
      </w:r>
      <w:r w:rsidRPr="00B971D9">
        <w:rPr>
          <w:sz w:val="28"/>
          <w:szCs w:val="28"/>
        </w:rPr>
        <w:t xml:space="preserve"> lawyer</w:t>
      </w:r>
      <w:r w:rsidR="00A912A1" w:rsidRPr="00B971D9">
        <w:rPr>
          <w:sz w:val="28"/>
          <w:szCs w:val="28"/>
        </w:rPr>
        <w:t>. The quandary that the proposed amendments seek to address is how to maintain fundamental principles of the legal profession</w:t>
      </w:r>
      <w:r w:rsidR="008941AC" w:rsidRPr="00B971D9">
        <w:rPr>
          <w:sz w:val="28"/>
          <w:szCs w:val="28"/>
        </w:rPr>
        <w:t>,</w:t>
      </w:r>
      <w:r w:rsidR="00A912A1" w:rsidRPr="00B971D9">
        <w:rPr>
          <w:sz w:val="28"/>
          <w:szCs w:val="28"/>
        </w:rPr>
        <w:t xml:space="preserve"> such as communication and protection of client confidences</w:t>
      </w:r>
      <w:r w:rsidR="008941AC" w:rsidRPr="00B971D9">
        <w:rPr>
          <w:sz w:val="28"/>
          <w:szCs w:val="28"/>
        </w:rPr>
        <w:t>,</w:t>
      </w:r>
      <w:r w:rsidR="00A912A1" w:rsidRPr="00B971D9">
        <w:rPr>
          <w:sz w:val="28"/>
          <w:szCs w:val="28"/>
        </w:rPr>
        <w:t xml:space="preserve"> without impeding, modifying or even </w:t>
      </w:r>
      <w:r w:rsidR="008941AC" w:rsidRPr="00B971D9">
        <w:rPr>
          <w:sz w:val="28"/>
          <w:szCs w:val="28"/>
        </w:rPr>
        <w:t>abrogating</w:t>
      </w:r>
      <w:r w:rsidR="00A912A1" w:rsidRPr="00B971D9">
        <w:rPr>
          <w:sz w:val="28"/>
          <w:szCs w:val="28"/>
        </w:rPr>
        <w:t xml:space="preserve"> government lawyers’ lawful authority and duties that derive from other law. To that end, t</w:t>
      </w:r>
      <w:r w:rsidR="00FC60D7" w:rsidRPr="00B971D9">
        <w:rPr>
          <w:sz w:val="28"/>
          <w:szCs w:val="28"/>
        </w:rPr>
        <w:t xml:space="preserve">he proposed amendments </w:t>
      </w:r>
      <w:r w:rsidR="008941AC" w:rsidRPr="00B971D9">
        <w:rPr>
          <w:sz w:val="28"/>
          <w:szCs w:val="28"/>
        </w:rPr>
        <w:t>maintain the current statements in the Ethical Rules</w:t>
      </w:r>
      <w:r w:rsidR="00FC60D7" w:rsidRPr="00B971D9">
        <w:rPr>
          <w:sz w:val="28"/>
          <w:szCs w:val="28"/>
        </w:rPr>
        <w:t xml:space="preserve"> that </w:t>
      </w:r>
      <w:r w:rsidRPr="00B971D9">
        <w:rPr>
          <w:sz w:val="28"/>
          <w:szCs w:val="28"/>
        </w:rPr>
        <w:t xml:space="preserve">the Rules </w:t>
      </w:r>
      <w:r w:rsidR="008941AC" w:rsidRPr="00B971D9">
        <w:rPr>
          <w:sz w:val="28"/>
          <w:szCs w:val="28"/>
        </w:rPr>
        <w:t>do not</w:t>
      </w:r>
      <w:r w:rsidRPr="00B971D9">
        <w:rPr>
          <w:sz w:val="28"/>
          <w:szCs w:val="28"/>
        </w:rPr>
        <w:t xml:space="preserve"> impede, inhibit, modify or abrogate </w:t>
      </w:r>
      <w:r w:rsidR="00FC60D7" w:rsidRPr="00B971D9">
        <w:rPr>
          <w:sz w:val="28"/>
          <w:szCs w:val="28"/>
        </w:rPr>
        <w:t>legal authority or requirements</w:t>
      </w:r>
      <w:r w:rsidR="008941AC" w:rsidRPr="00B971D9">
        <w:rPr>
          <w:sz w:val="28"/>
          <w:szCs w:val="28"/>
        </w:rPr>
        <w:t xml:space="preserve"> derived from other law</w:t>
      </w:r>
      <w:r w:rsidR="00FC60D7" w:rsidRPr="00B971D9">
        <w:rPr>
          <w:sz w:val="28"/>
          <w:szCs w:val="28"/>
        </w:rPr>
        <w:t>.</w:t>
      </w:r>
      <w:r w:rsidRPr="00B971D9">
        <w:rPr>
          <w:sz w:val="28"/>
          <w:szCs w:val="28"/>
        </w:rPr>
        <w:t xml:space="preserve"> </w:t>
      </w:r>
      <w:r w:rsidR="008941AC" w:rsidRPr="00B971D9">
        <w:rPr>
          <w:sz w:val="28"/>
          <w:szCs w:val="28"/>
        </w:rPr>
        <w:t>Consistent with that principal</w:t>
      </w:r>
      <w:r w:rsidR="00A912A1" w:rsidRPr="00B971D9">
        <w:rPr>
          <w:sz w:val="28"/>
          <w:szCs w:val="28"/>
        </w:rPr>
        <w:t xml:space="preserve">, </w:t>
      </w:r>
      <w:r w:rsidR="008941AC" w:rsidRPr="00B971D9">
        <w:rPr>
          <w:sz w:val="28"/>
          <w:szCs w:val="28"/>
        </w:rPr>
        <w:t xml:space="preserve">and </w:t>
      </w:r>
      <w:r w:rsidR="00A912A1" w:rsidRPr="00B971D9">
        <w:rPr>
          <w:sz w:val="28"/>
          <w:szCs w:val="28"/>
        </w:rPr>
        <w:t>b</w:t>
      </w:r>
      <w:r w:rsidR="00FC60D7" w:rsidRPr="00B971D9">
        <w:rPr>
          <w:sz w:val="28"/>
          <w:szCs w:val="28"/>
        </w:rPr>
        <w:t>ecause t</w:t>
      </w:r>
      <w:r w:rsidRPr="00B971D9">
        <w:rPr>
          <w:sz w:val="28"/>
          <w:szCs w:val="28"/>
        </w:rPr>
        <w:t xml:space="preserve">he current Ethical Rules related to conflicts of interest would require </w:t>
      </w:r>
      <w:r w:rsidR="00A912A1" w:rsidRPr="00B971D9">
        <w:rPr>
          <w:sz w:val="28"/>
          <w:szCs w:val="28"/>
        </w:rPr>
        <w:t>an</w:t>
      </w:r>
      <w:r w:rsidRPr="00B971D9">
        <w:rPr>
          <w:sz w:val="28"/>
          <w:szCs w:val="28"/>
        </w:rPr>
        <w:t xml:space="preserve"> affected client to waive </w:t>
      </w:r>
      <w:r w:rsidR="00FC60D7" w:rsidRPr="00B971D9">
        <w:rPr>
          <w:sz w:val="28"/>
          <w:szCs w:val="28"/>
        </w:rPr>
        <w:t>a</w:t>
      </w:r>
      <w:r w:rsidRPr="00B971D9">
        <w:rPr>
          <w:sz w:val="28"/>
          <w:szCs w:val="28"/>
        </w:rPr>
        <w:t xml:space="preserve"> conflict </w:t>
      </w:r>
      <w:r w:rsidR="00FC60D7" w:rsidRPr="00B971D9">
        <w:rPr>
          <w:sz w:val="28"/>
          <w:szCs w:val="28"/>
        </w:rPr>
        <w:t xml:space="preserve">before </w:t>
      </w:r>
      <w:r w:rsidR="008941AC" w:rsidRPr="00B971D9">
        <w:rPr>
          <w:sz w:val="28"/>
          <w:szCs w:val="28"/>
        </w:rPr>
        <w:t>a</w:t>
      </w:r>
      <w:r w:rsidR="00FC60D7" w:rsidRPr="00B971D9">
        <w:rPr>
          <w:sz w:val="28"/>
          <w:szCs w:val="28"/>
        </w:rPr>
        <w:t xml:space="preserve"> government lawyer could act in accordance with their legal authority or duty</w:t>
      </w:r>
      <w:r w:rsidR="008941AC" w:rsidRPr="00B971D9">
        <w:rPr>
          <w:sz w:val="28"/>
          <w:szCs w:val="28"/>
        </w:rPr>
        <w:t xml:space="preserve"> in some circumstances</w:t>
      </w:r>
      <w:r w:rsidR="00FC60D7" w:rsidRPr="00B971D9">
        <w:rPr>
          <w:sz w:val="28"/>
          <w:szCs w:val="28"/>
        </w:rPr>
        <w:t xml:space="preserve">, the proposed rule amendments </w:t>
      </w:r>
      <w:r w:rsidR="008941AC" w:rsidRPr="00B971D9">
        <w:rPr>
          <w:sz w:val="28"/>
          <w:szCs w:val="28"/>
        </w:rPr>
        <w:lastRenderedPageBreak/>
        <w:t xml:space="preserve">would </w:t>
      </w:r>
      <w:r w:rsidR="00FC60D7" w:rsidRPr="00B971D9">
        <w:rPr>
          <w:sz w:val="28"/>
          <w:szCs w:val="28"/>
        </w:rPr>
        <w:t>eliminate client waiver</w:t>
      </w:r>
      <w:r w:rsidR="00A912A1" w:rsidRPr="00B971D9">
        <w:rPr>
          <w:sz w:val="28"/>
          <w:szCs w:val="28"/>
        </w:rPr>
        <w:t xml:space="preserve"> if</w:t>
      </w:r>
      <w:r w:rsidR="00FC60D7" w:rsidRPr="00B971D9">
        <w:rPr>
          <w:sz w:val="28"/>
          <w:szCs w:val="28"/>
        </w:rPr>
        <w:t xml:space="preserve"> </w:t>
      </w:r>
      <w:r w:rsidR="00A912A1" w:rsidRPr="00B971D9">
        <w:rPr>
          <w:sz w:val="28"/>
          <w:szCs w:val="28"/>
        </w:rPr>
        <w:t xml:space="preserve">(and only if) </w:t>
      </w:r>
      <w:r w:rsidR="00FC60D7" w:rsidRPr="00B971D9">
        <w:rPr>
          <w:sz w:val="28"/>
          <w:szCs w:val="28"/>
        </w:rPr>
        <w:t>certain prerequisite requirements have been met by the government lawyer or law office</w:t>
      </w:r>
      <w:r w:rsidRPr="00B971D9">
        <w:rPr>
          <w:sz w:val="28"/>
          <w:szCs w:val="28"/>
        </w:rPr>
        <w:t>.</w:t>
      </w:r>
      <w:r w:rsidR="00FC60D7" w:rsidRPr="00B971D9">
        <w:rPr>
          <w:rStyle w:val="FootnoteReference"/>
          <w:sz w:val="28"/>
          <w:szCs w:val="28"/>
        </w:rPr>
        <w:footnoteReference w:id="1"/>
      </w:r>
      <w:r w:rsidRPr="00B971D9">
        <w:rPr>
          <w:sz w:val="28"/>
          <w:szCs w:val="28"/>
        </w:rPr>
        <w:t xml:space="preserve"> </w:t>
      </w:r>
    </w:p>
    <w:p w:rsidR="00FE6351" w:rsidRPr="00B971D9" w:rsidRDefault="00FE6351" w:rsidP="00B971D9">
      <w:pPr>
        <w:spacing w:line="480" w:lineRule="auto"/>
        <w:jc w:val="both"/>
        <w:rPr>
          <w:sz w:val="28"/>
          <w:szCs w:val="28"/>
        </w:rPr>
      </w:pPr>
      <w:r w:rsidRPr="00B971D9">
        <w:rPr>
          <w:sz w:val="28"/>
          <w:szCs w:val="28"/>
        </w:rPr>
        <w:tab/>
        <w:t>Specifically, t</w:t>
      </w:r>
      <w:r w:rsidR="00DF58F7" w:rsidRPr="00B971D9">
        <w:rPr>
          <w:sz w:val="28"/>
          <w:szCs w:val="28"/>
        </w:rPr>
        <w:t>he proposed amendments</w:t>
      </w:r>
      <w:r w:rsidRPr="00B971D9">
        <w:rPr>
          <w:sz w:val="28"/>
          <w:szCs w:val="28"/>
        </w:rPr>
        <w:t xml:space="preserve"> to ER 1.7</w:t>
      </w:r>
      <w:r w:rsidR="00DF58F7" w:rsidRPr="00B971D9">
        <w:rPr>
          <w:sz w:val="28"/>
          <w:szCs w:val="28"/>
        </w:rPr>
        <w:t xml:space="preserve"> </w:t>
      </w:r>
      <w:r w:rsidR="008941AC" w:rsidRPr="00B971D9">
        <w:rPr>
          <w:sz w:val="28"/>
          <w:szCs w:val="28"/>
        </w:rPr>
        <w:t>state that no</w:t>
      </w:r>
      <w:r w:rsidR="00DF58F7" w:rsidRPr="00B971D9">
        <w:rPr>
          <w:sz w:val="28"/>
          <w:szCs w:val="28"/>
        </w:rPr>
        <w:t xml:space="preserve"> </w:t>
      </w:r>
      <w:r w:rsidRPr="00B971D9">
        <w:rPr>
          <w:sz w:val="28"/>
          <w:szCs w:val="28"/>
        </w:rPr>
        <w:t xml:space="preserve">client </w:t>
      </w:r>
      <w:r w:rsidR="00DF58F7" w:rsidRPr="00B971D9">
        <w:rPr>
          <w:sz w:val="28"/>
          <w:szCs w:val="28"/>
        </w:rPr>
        <w:t xml:space="preserve">waiver </w:t>
      </w:r>
      <w:r w:rsidR="008941AC" w:rsidRPr="00B971D9">
        <w:rPr>
          <w:sz w:val="28"/>
          <w:szCs w:val="28"/>
        </w:rPr>
        <w:t>i</w:t>
      </w:r>
      <w:r w:rsidR="00491E47" w:rsidRPr="00B971D9">
        <w:rPr>
          <w:sz w:val="28"/>
          <w:szCs w:val="28"/>
        </w:rPr>
        <w:t>s</w:t>
      </w:r>
      <w:r w:rsidR="008941AC" w:rsidRPr="00B971D9">
        <w:rPr>
          <w:sz w:val="28"/>
          <w:szCs w:val="28"/>
        </w:rPr>
        <w:t xml:space="preserve"> required</w:t>
      </w:r>
      <w:r w:rsidR="00DF58F7" w:rsidRPr="00B971D9">
        <w:rPr>
          <w:sz w:val="28"/>
          <w:szCs w:val="28"/>
        </w:rPr>
        <w:t xml:space="preserve"> </w:t>
      </w:r>
      <w:r w:rsidR="00DF58F7" w:rsidRPr="00B971D9">
        <w:rPr>
          <w:b/>
          <w:i/>
          <w:sz w:val="28"/>
          <w:szCs w:val="28"/>
          <w:u w:val="single"/>
        </w:rPr>
        <w:t>provided that</w:t>
      </w:r>
      <w:r w:rsidR="00DF58F7" w:rsidRPr="00B971D9">
        <w:rPr>
          <w:b/>
          <w:i/>
          <w:sz w:val="28"/>
          <w:szCs w:val="28"/>
        </w:rPr>
        <w:t xml:space="preserve"> </w:t>
      </w:r>
      <w:r w:rsidR="00FE5D14">
        <w:rPr>
          <w:sz w:val="28"/>
          <w:szCs w:val="28"/>
        </w:rPr>
        <w:t>the government</w:t>
      </w:r>
      <w:r w:rsidR="00DF58F7" w:rsidRPr="00B971D9">
        <w:rPr>
          <w:sz w:val="28"/>
          <w:szCs w:val="28"/>
        </w:rPr>
        <w:t xml:space="preserve"> lawyer or law office (1) has </w:t>
      </w:r>
      <w:r w:rsidR="00A912A1" w:rsidRPr="00B971D9">
        <w:rPr>
          <w:sz w:val="28"/>
          <w:szCs w:val="28"/>
        </w:rPr>
        <w:t xml:space="preserve">in place </w:t>
      </w:r>
      <w:r w:rsidR="00DF58F7" w:rsidRPr="00B971D9">
        <w:rPr>
          <w:sz w:val="28"/>
          <w:szCs w:val="28"/>
        </w:rPr>
        <w:t xml:space="preserve">an organizational structure that allows for effective screening of lawyers </w:t>
      </w:r>
      <w:r w:rsidRPr="00B971D9">
        <w:rPr>
          <w:sz w:val="28"/>
          <w:szCs w:val="28"/>
        </w:rPr>
        <w:t>who have</w:t>
      </w:r>
      <w:r w:rsidR="00DF58F7" w:rsidRPr="00B971D9">
        <w:rPr>
          <w:sz w:val="28"/>
          <w:szCs w:val="28"/>
        </w:rPr>
        <w:t xml:space="preserve"> confidential information that could be used to the detriment of </w:t>
      </w:r>
      <w:r w:rsidRPr="00B971D9">
        <w:rPr>
          <w:sz w:val="28"/>
          <w:szCs w:val="28"/>
        </w:rPr>
        <w:t>an</w:t>
      </w:r>
      <w:r w:rsidR="00FE5D14">
        <w:rPr>
          <w:sz w:val="28"/>
          <w:szCs w:val="28"/>
        </w:rPr>
        <w:t xml:space="preserve"> affected government client, (2) all government</w:t>
      </w:r>
      <w:r w:rsidR="00DF58F7" w:rsidRPr="00B971D9">
        <w:rPr>
          <w:sz w:val="28"/>
          <w:szCs w:val="28"/>
        </w:rPr>
        <w:t xml:space="preserve"> clients have been provided general notice of foreseeable circumstances </w:t>
      </w:r>
      <w:r w:rsidR="008941AC" w:rsidRPr="00B971D9">
        <w:rPr>
          <w:sz w:val="28"/>
          <w:szCs w:val="28"/>
        </w:rPr>
        <w:t>which</w:t>
      </w:r>
      <w:r w:rsidR="00DF58F7" w:rsidRPr="00B971D9">
        <w:rPr>
          <w:sz w:val="28"/>
          <w:szCs w:val="28"/>
        </w:rPr>
        <w:t xml:space="preserve"> might lead to a conflict </w:t>
      </w:r>
      <w:r w:rsidR="008941AC" w:rsidRPr="00B971D9">
        <w:rPr>
          <w:sz w:val="28"/>
          <w:szCs w:val="28"/>
        </w:rPr>
        <w:t>of interest</w:t>
      </w:r>
      <w:r w:rsidR="00DF58F7" w:rsidRPr="00B971D9">
        <w:rPr>
          <w:sz w:val="28"/>
          <w:szCs w:val="28"/>
        </w:rPr>
        <w:t xml:space="preserve"> and </w:t>
      </w:r>
      <w:r w:rsidR="008941AC" w:rsidRPr="00B971D9">
        <w:rPr>
          <w:sz w:val="28"/>
          <w:szCs w:val="28"/>
        </w:rPr>
        <w:t xml:space="preserve">describes </w:t>
      </w:r>
      <w:r w:rsidR="00FE5D14">
        <w:rPr>
          <w:sz w:val="28"/>
          <w:szCs w:val="28"/>
        </w:rPr>
        <w:t>the government</w:t>
      </w:r>
      <w:r w:rsidR="00DF58F7" w:rsidRPr="00B971D9">
        <w:rPr>
          <w:sz w:val="28"/>
          <w:szCs w:val="28"/>
        </w:rPr>
        <w:t xml:space="preserve"> law office’s screening processes</w:t>
      </w:r>
      <w:r w:rsidR="008941AC" w:rsidRPr="00B971D9">
        <w:rPr>
          <w:sz w:val="28"/>
          <w:szCs w:val="28"/>
        </w:rPr>
        <w:t xml:space="preserve"> for such occasions</w:t>
      </w:r>
      <w:r w:rsidR="0066295E">
        <w:rPr>
          <w:sz w:val="28"/>
          <w:szCs w:val="28"/>
        </w:rPr>
        <w:t>, (3) </w:t>
      </w:r>
      <w:r w:rsidR="00DF58F7" w:rsidRPr="00B971D9">
        <w:rPr>
          <w:sz w:val="28"/>
          <w:szCs w:val="28"/>
        </w:rPr>
        <w:t xml:space="preserve">a screen is implemented as soon as reasonably possible under the specific circumstances of </w:t>
      </w:r>
      <w:r w:rsidR="00FE5D14">
        <w:rPr>
          <w:sz w:val="28"/>
          <w:szCs w:val="28"/>
        </w:rPr>
        <w:t>a conflict, (4) the government</w:t>
      </w:r>
      <w:r w:rsidR="00DF58F7" w:rsidRPr="00B971D9">
        <w:rPr>
          <w:sz w:val="28"/>
          <w:szCs w:val="28"/>
        </w:rPr>
        <w:t xml:space="preserve"> lawyer or law office withdraws from the representation as soon as possible under the circumstances, and (5) </w:t>
      </w:r>
      <w:r w:rsidRPr="00B971D9">
        <w:rPr>
          <w:sz w:val="28"/>
          <w:szCs w:val="28"/>
        </w:rPr>
        <w:t xml:space="preserve">to the extent permissible by other law, </w:t>
      </w:r>
      <w:r w:rsidR="00FE5D14">
        <w:rPr>
          <w:sz w:val="28"/>
          <w:szCs w:val="28"/>
        </w:rPr>
        <w:t>the government</w:t>
      </w:r>
      <w:r w:rsidR="00DF58F7" w:rsidRPr="00B971D9">
        <w:rPr>
          <w:sz w:val="28"/>
          <w:szCs w:val="28"/>
        </w:rPr>
        <w:t xml:space="preserve"> client is afforded an opportunity to seek replacement counsel.</w:t>
      </w:r>
    </w:p>
    <w:p w:rsidR="00F174D1" w:rsidRPr="00B971D9" w:rsidRDefault="00FE6351" w:rsidP="00B971D9">
      <w:pPr>
        <w:spacing w:line="480" w:lineRule="auto"/>
        <w:jc w:val="both"/>
        <w:rPr>
          <w:sz w:val="28"/>
          <w:szCs w:val="28"/>
        </w:rPr>
      </w:pPr>
      <w:r w:rsidRPr="00B971D9">
        <w:rPr>
          <w:sz w:val="28"/>
          <w:szCs w:val="28"/>
        </w:rPr>
        <w:tab/>
      </w:r>
      <w:r w:rsidR="00F73171" w:rsidRPr="00B971D9">
        <w:rPr>
          <w:sz w:val="28"/>
          <w:szCs w:val="28"/>
        </w:rPr>
        <w:t xml:space="preserve">In addition to </w:t>
      </w:r>
      <w:r w:rsidR="008941AC" w:rsidRPr="00B971D9">
        <w:rPr>
          <w:sz w:val="28"/>
          <w:szCs w:val="28"/>
        </w:rPr>
        <w:t xml:space="preserve">the above-described </w:t>
      </w:r>
      <w:r w:rsidR="00F73171" w:rsidRPr="00B971D9">
        <w:rPr>
          <w:sz w:val="28"/>
          <w:szCs w:val="28"/>
        </w:rPr>
        <w:t>proposed amendments to ER 1.7, o</w:t>
      </w:r>
      <w:r w:rsidR="00F174D1" w:rsidRPr="00B971D9">
        <w:rPr>
          <w:sz w:val="28"/>
          <w:szCs w:val="28"/>
        </w:rPr>
        <w:t>ther proposed rule amendments would:</w:t>
      </w:r>
    </w:p>
    <w:p w:rsidR="00F174D1" w:rsidRPr="00B971D9" w:rsidRDefault="00F174D1" w:rsidP="00B971D9">
      <w:pPr>
        <w:pStyle w:val="ListParagraph"/>
        <w:numPr>
          <w:ilvl w:val="0"/>
          <w:numId w:val="5"/>
        </w:numPr>
        <w:spacing w:line="480" w:lineRule="auto"/>
        <w:jc w:val="both"/>
        <w:rPr>
          <w:sz w:val="28"/>
          <w:szCs w:val="28"/>
        </w:rPr>
      </w:pPr>
      <w:r w:rsidRPr="00B971D9">
        <w:rPr>
          <w:sz w:val="28"/>
          <w:szCs w:val="28"/>
        </w:rPr>
        <w:t xml:space="preserve">Clarify </w:t>
      </w:r>
      <w:r w:rsidR="00976E21" w:rsidRPr="00B971D9">
        <w:rPr>
          <w:sz w:val="28"/>
          <w:szCs w:val="28"/>
        </w:rPr>
        <w:t xml:space="preserve">existing law </w:t>
      </w:r>
      <w:r w:rsidRPr="00B971D9">
        <w:rPr>
          <w:sz w:val="28"/>
          <w:szCs w:val="28"/>
        </w:rPr>
        <w:t>that government law offices are “l</w:t>
      </w:r>
      <w:r w:rsidR="00976E21" w:rsidRPr="00B971D9">
        <w:rPr>
          <w:sz w:val="28"/>
          <w:szCs w:val="28"/>
        </w:rPr>
        <w:t xml:space="preserve">aw firms” as defined </w:t>
      </w:r>
      <w:r w:rsidR="00976E21" w:rsidRPr="00B971D9">
        <w:rPr>
          <w:sz w:val="28"/>
          <w:szCs w:val="28"/>
        </w:rPr>
        <w:lastRenderedPageBreak/>
        <w:t>in ER 1.10; and</w:t>
      </w:r>
    </w:p>
    <w:p w:rsidR="000B0A09" w:rsidRPr="00B971D9" w:rsidRDefault="00F174D1" w:rsidP="00B971D9">
      <w:pPr>
        <w:pStyle w:val="ListParagraph"/>
        <w:numPr>
          <w:ilvl w:val="0"/>
          <w:numId w:val="5"/>
        </w:numPr>
        <w:spacing w:line="480" w:lineRule="auto"/>
        <w:jc w:val="both"/>
        <w:rPr>
          <w:sz w:val="28"/>
          <w:szCs w:val="28"/>
        </w:rPr>
      </w:pPr>
      <w:r w:rsidRPr="00B971D9">
        <w:rPr>
          <w:sz w:val="28"/>
          <w:szCs w:val="28"/>
        </w:rPr>
        <w:t xml:space="preserve">Add language (often in the form of comments) to ERs </w:t>
      </w:r>
      <w:r w:rsidR="00F73171" w:rsidRPr="00B971D9">
        <w:rPr>
          <w:sz w:val="28"/>
          <w:szCs w:val="28"/>
        </w:rPr>
        <w:t xml:space="preserve">1.2, </w:t>
      </w:r>
      <w:r w:rsidRPr="00B971D9">
        <w:rPr>
          <w:sz w:val="28"/>
          <w:szCs w:val="28"/>
        </w:rPr>
        <w:t xml:space="preserve">1.9, 1.10, 1.13, </w:t>
      </w:r>
      <w:r w:rsidR="003B4E38" w:rsidRPr="00B971D9">
        <w:rPr>
          <w:sz w:val="28"/>
          <w:szCs w:val="28"/>
        </w:rPr>
        <w:t xml:space="preserve">1.16, </w:t>
      </w:r>
      <w:r w:rsidRPr="00B971D9">
        <w:rPr>
          <w:sz w:val="28"/>
          <w:szCs w:val="28"/>
        </w:rPr>
        <w:t xml:space="preserve">5.1, </w:t>
      </w:r>
      <w:r w:rsidR="003B4E38" w:rsidRPr="00B971D9">
        <w:rPr>
          <w:sz w:val="28"/>
          <w:szCs w:val="28"/>
        </w:rPr>
        <w:t>5.2</w:t>
      </w:r>
      <w:r w:rsidRPr="00B971D9">
        <w:rPr>
          <w:sz w:val="28"/>
          <w:szCs w:val="28"/>
        </w:rPr>
        <w:t xml:space="preserve"> and 8.4 to assist with the interpretation of those rules as they pertain to government lawyers in general</w:t>
      </w:r>
      <w:r w:rsidR="00A912A1" w:rsidRPr="00B971D9">
        <w:rPr>
          <w:sz w:val="28"/>
          <w:szCs w:val="28"/>
        </w:rPr>
        <w:t>,</w:t>
      </w:r>
      <w:r w:rsidRPr="00B971D9">
        <w:rPr>
          <w:sz w:val="28"/>
          <w:szCs w:val="28"/>
        </w:rPr>
        <w:t xml:space="preserve"> and specifically to the obligations of government lawyers as derived from other law.</w:t>
      </w:r>
    </w:p>
    <w:p w:rsidR="000B0A09" w:rsidRPr="00B971D9" w:rsidRDefault="000B0A09" w:rsidP="00E724D6">
      <w:pPr>
        <w:spacing w:line="480" w:lineRule="auto"/>
        <w:jc w:val="center"/>
        <w:rPr>
          <w:sz w:val="28"/>
          <w:szCs w:val="28"/>
        </w:rPr>
      </w:pPr>
      <w:r w:rsidRPr="00B971D9">
        <w:rPr>
          <w:b/>
          <w:sz w:val="28"/>
          <w:szCs w:val="28"/>
        </w:rPr>
        <w:t>Proposed Rule Amendments</w:t>
      </w:r>
    </w:p>
    <w:p w:rsidR="000760F4" w:rsidRPr="00B971D9" w:rsidRDefault="000B0A09" w:rsidP="00B971D9">
      <w:pPr>
        <w:spacing w:line="480" w:lineRule="auto"/>
        <w:jc w:val="both"/>
        <w:rPr>
          <w:b/>
          <w:sz w:val="28"/>
          <w:szCs w:val="28"/>
        </w:rPr>
      </w:pPr>
      <w:r w:rsidRPr="00B971D9">
        <w:rPr>
          <w:sz w:val="28"/>
          <w:szCs w:val="28"/>
        </w:rPr>
        <w:tab/>
        <w:t xml:space="preserve">The proposed amendments are attached hereto in legislative format as </w:t>
      </w:r>
      <w:r w:rsidRPr="00B971D9">
        <w:rPr>
          <w:b/>
          <w:sz w:val="28"/>
          <w:szCs w:val="28"/>
        </w:rPr>
        <w:t>Appendix “A.”</w:t>
      </w:r>
      <w:bookmarkStart w:id="8" w:name="StartHere"/>
      <w:bookmarkEnd w:id="0"/>
      <w:bookmarkEnd w:id="8"/>
    </w:p>
    <w:p w:rsidR="00A912A1" w:rsidRPr="00B971D9" w:rsidRDefault="00A912A1" w:rsidP="00A912A1">
      <w:pPr>
        <w:spacing w:line="480" w:lineRule="auto"/>
        <w:jc w:val="center"/>
        <w:rPr>
          <w:sz w:val="28"/>
          <w:szCs w:val="28"/>
        </w:rPr>
      </w:pPr>
      <w:r w:rsidRPr="00B971D9">
        <w:rPr>
          <w:b/>
          <w:sz w:val="28"/>
          <w:szCs w:val="28"/>
        </w:rPr>
        <w:t>Conclusion</w:t>
      </w:r>
    </w:p>
    <w:p w:rsidR="00A912A1" w:rsidRPr="00B971D9" w:rsidRDefault="00A912A1" w:rsidP="00B971D9">
      <w:pPr>
        <w:spacing w:line="480" w:lineRule="auto"/>
        <w:jc w:val="both"/>
        <w:rPr>
          <w:sz w:val="28"/>
          <w:szCs w:val="28"/>
        </w:rPr>
      </w:pPr>
      <w:r w:rsidRPr="00B971D9">
        <w:rPr>
          <w:sz w:val="28"/>
          <w:szCs w:val="28"/>
        </w:rPr>
        <w:tab/>
        <w:t xml:space="preserve">Government lawyers are subject to the Ethical Rules and the regulatory authority of the Arizona Supreme Court as delegated to the State Bar of Arizona. This Petition would not alter </w:t>
      </w:r>
      <w:r w:rsidR="006B7324" w:rsidRPr="00B971D9">
        <w:rPr>
          <w:sz w:val="28"/>
          <w:szCs w:val="28"/>
        </w:rPr>
        <w:t>that important</w:t>
      </w:r>
      <w:r w:rsidRPr="00B971D9">
        <w:rPr>
          <w:sz w:val="28"/>
          <w:szCs w:val="28"/>
        </w:rPr>
        <w:t xml:space="preserve"> fact. Currently, however, application of the Ethical Rules to government lawyers </w:t>
      </w:r>
      <w:r w:rsidR="006B7324" w:rsidRPr="00B971D9">
        <w:rPr>
          <w:sz w:val="28"/>
          <w:szCs w:val="28"/>
        </w:rPr>
        <w:t>can be</w:t>
      </w:r>
      <w:r w:rsidRPr="00B971D9">
        <w:rPr>
          <w:sz w:val="28"/>
          <w:szCs w:val="28"/>
        </w:rPr>
        <w:t xml:space="preserve"> difficult</w:t>
      </w:r>
      <w:r w:rsidR="006B7324" w:rsidRPr="00B971D9">
        <w:rPr>
          <w:sz w:val="28"/>
          <w:szCs w:val="28"/>
        </w:rPr>
        <w:t>,</w:t>
      </w:r>
      <w:r w:rsidRPr="00B971D9">
        <w:rPr>
          <w:sz w:val="28"/>
          <w:szCs w:val="28"/>
        </w:rPr>
        <w:t xml:space="preserve"> if not impossible</w:t>
      </w:r>
      <w:r w:rsidR="006B7324" w:rsidRPr="00B971D9">
        <w:rPr>
          <w:sz w:val="28"/>
          <w:szCs w:val="28"/>
        </w:rPr>
        <w:t>,</w:t>
      </w:r>
      <w:r w:rsidRPr="00B971D9">
        <w:rPr>
          <w:sz w:val="28"/>
          <w:szCs w:val="28"/>
        </w:rPr>
        <w:t xml:space="preserve"> due in part to the fact that virtually all of a government lawyer’s duties and authority derive from other law, and </w:t>
      </w:r>
      <w:r w:rsidR="006B7324" w:rsidRPr="00B971D9">
        <w:rPr>
          <w:sz w:val="28"/>
          <w:szCs w:val="28"/>
        </w:rPr>
        <w:t xml:space="preserve">therefore, </w:t>
      </w:r>
      <w:r w:rsidRPr="00B971D9">
        <w:rPr>
          <w:sz w:val="28"/>
          <w:szCs w:val="28"/>
        </w:rPr>
        <w:t xml:space="preserve">the principle of the separation of powers </w:t>
      </w:r>
      <w:r w:rsidR="00ED01E9" w:rsidRPr="00B971D9">
        <w:rPr>
          <w:sz w:val="28"/>
          <w:szCs w:val="28"/>
        </w:rPr>
        <w:t xml:space="preserve">demands that the regulation of government lawyers not </w:t>
      </w:r>
      <w:r w:rsidR="006B7324" w:rsidRPr="00B971D9">
        <w:rPr>
          <w:sz w:val="28"/>
          <w:szCs w:val="28"/>
        </w:rPr>
        <w:t>impair</w:t>
      </w:r>
      <w:r w:rsidR="00ED01E9" w:rsidRPr="00B971D9">
        <w:rPr>
          <w:sz w:val="28"/>
          <w:szCs w:val="28"/>
        </w:rPr>
        <w:t xml:space="preserve"> those lawyers’ ability to meet their statutory </w:t>
      </w:r>
      <w:r w:rsidR="006B7324" w:rsidRPr="00B971D9">
        <w:rPr>
          <w:sz w:val="28"/>
          <w:szCs w:val="28"/>
        </w:rPr>
        <w:t xml:space="preserve">and other legal </w:t>
      </w:r>
      <w:r w:rsidR="00976E21" w:rsidRPr="00B971D9">
        <w:rPr>
          <w:sz w:val="28"/>
          <w:szCs w:val="28"/>
        </w:rPr>
        <w:t xml:space="preserve">authority and </w:t>
      </w:r>
      <w:r w:rsidR="006B7324" w:rsidRPr="00B971D9">
        <w:rPr>
          <w:sz w:val="28"/>
          <w:szCs w:val="28"/>
        </w:rPr>
        <w:t>obligations. This Petition seeks to introduce a</w:t>
      </w:r>
      <w:r w:rsidR="00ED01E9" w:rsidRPr="00B971D9">
        <w:rPr>
          <w:sz w:val="28"/>
          <w:szCs w:val="28"/>
        </w:rPr>
        <w:t xml:space="preserve"> balance into the Ethical Rules</w:t>
      </w:r>
      <w:r w:rsidR="006B7324" w:rsidRPr="00B971D9">
        <w:rPr>
          <w:sz w:val="28"/>
          <w:szCs w:val="28"/>
        </w:rPr>
        <w:t>, one</w:t>
      </w:r>
      <w:r w:rsidR="00ED01E9" w:rsidRPr="00B971D9">
        <w:rPr>
          <w:sz w:val="28"/>
          <w:szCs w:val="28"/>
        </w:rPr>
        <w:t xml:space="preserve"> that will </w:t>
      </w:r>
      <w:r w:rsidR="006B7324" w:rsidRPr="00B971D9">
        <w:rPr>
          <w:sz w:val="28"/>
          <w:szCs w:val="28"/>
        </w:rPr>
        <w:t xml:space="preserve">require </w:t>
      </w:r>
      <w:r w:rsidR="00ED01E9" w:rsidRPr="00B971D9">
        <w:rPr>
          <w:sz w:val="28"/>
          <w:szCs w:val="28"/>
        </w:rPr>
        <w:t>government lawyers to meet their duties of client communication and preservation of client confidences</w:t>
      </w:r>
      <w:r w:rsidR="00976E21" w:rsidRPr="00B971D9">
        <w:rPr>
          <w:sz w:val="28"/>
          <w:szCs w:val="28"/>
        </w:rPr>
        <w:t>,</w:t>
      </w:r>
      <w:r w:rsidR="00ED01E9" w:rsidRPr="00B971D9">
        <w:rPr>
          <w:sz w:val="28"/>
          <w:szCs w:val="28"/>
        </w:rPr>
        <w:t xml:space="preserve"> without assigning to </w:t>
      </w:r>
      <w:r w:rsidR="00976E21" w:rsidRPr="00B971D9">
        <w:rPr>
          <w:sz w:val="28"/>
          <w:szCs w:val="28"/>
        </w:rPr>
        <w:t xml:space="preserve">their </w:t>
      </w:r>
      <w:r w:rsidR="00ED01E9" w:rsidRPr="00B971D9">
        <w:rPr>
          <w:sz w:val="28"/>
          <w:szCs w:val="28"/>
        </w:rPr>
        <w:t xml:space="preserve">clients </w:t>
      </w:r>
      <w:r w:rsidR="007A3CC6">
        <w:rPr>
          <w:sz w:val="28"/>
          <w:szCs w:val="28"/>
        </w:rPr>
        <w:t xml:space="preserve">a </w:t>
      </w:r>
      <w:r w:rsidR="006B7324" w:rsidRPr="00B971D9">
        <w:rPr>
          <w:sz w:val="28"/>
          <w:szCs w:val="28"/>
        </w:rPr>
        <w:t xml:space="preserve">power </w:t>
      </w:r>
      <w:r w:rsidR="00ED01E9" w:rsidRPr="00B971D9">
        <w:rPr>
          <w:sz w:val="28"/>
          <w:szCs w:val="28"/>
        </w:rPr>
        <w:t>that could n</w:t>
      </w:r>
      <w:r w:rsidR="006B7324" w:rsidRPr="00B971D9">
        <w:rPr>
          <w:sz w:val="28"/>
          <w:szCs w:val="28"/>
        </w:rPr>
        <w:t>ullify</w:t>
      </w:r>
      <w:r w:rsidR="00ED01E9" w:rsidRPr="00B971D9">
        <w:rPr>
          <w:sz w:val="28"/>
          <w:szCs w:val="28"/>
        </w:rPr>
        <w:t xml:space="preserve"> </w:t>
      </w:r>
      <w:r w:rsidR="00ED01E9" w:rsidRPr="00B971D9">
        <w:rPr>
          <w:sz w:val="28"/>
          <w:szCs w:val="28"/>
        </w:rPr>
        <w:lastRenderedPageBreak/>
        <w:t xml:space="preserve">government lawyers’ </w:t>
      </w:r>
      <w:r w:rsidR="006B7324" w:rsidRPr="00B971D9">
        <w:rPr>
          <w:sz w:val="28"/>
          <w:szCs w:val="28"/>
        </w:rPr>
        <w:t xml:space="preserve">ability to meet their </w:t>
      </w:r>
      <w:r w:rsidR="00ED01E9" w:rsidRPr="00B971D9">
        <w:rPr>
          <w:sz w:val="28"/>
          <w:szCs w:val="28"/>
        </w:rPr>
        <w:t xml:space="preserve">legal duties and authority. This Petition </w:t>
      </w:r>
      <w:r w:rsidR="00976E21" w:rsidRPr="00B971D9">
        <w:rPr>
          <w:sz w:val="28"/>
          <w:szCs w:val="28"/>
        </w:rPr>
        <w:t xml:space="preserve">thus </w:t>
      </w:r>
      <w:r w:rsidR="00ED01E9" w:rsidRPr="00B971D9">
        <w:rPr>
          <w:sz w:val="28"/>
          <w:szCs w:val="28"/>
        </w:rPr>
        <w:t xml:space="preserve">seeks to provide much-needed guidance to government lawyers, government clients, and the State Bar of Arizona. </w:t>
      </w:r>
    </w:p>
    <w:p w:rsidR="002578BC" w:rsidRPr="00B971D9" w:rsidRDefault="002578BC" w:rsidP="002578BC">
      <w:pPr>
        <w:ind w:firstLine="720"/>
        <w:rPr>
          <w:sz w:val="28"/>
          <w:szCs w:val="28"/>
        </w:rPr>
      </w:pPr>
      <w:r w:rsidRPr="00B971D9">
        <w:rPr>
          <w:sz w:val="28"/>
          <w:szCs w:val="28"/>
        </w:rPr>
        <w:t xml:space="preserve">Respectfully submitted this </w:t>
      </w:r>
      <w:r w:rsidR="00B971D9" w:rsidRPr="00B971D9">
        <w:rPr>
          <w:sz w:val="28"/>
          <w:szCs w:val="28"/>
        </w:rPr>
        <w:t>24th</w:t>
      </w:r>
      <w:r w:rsidRPr="00B971D9">
        <w:rPr>
          <w:sz w:val="28"/>
          <w:szCs w:val="28"/>
        </w:rPr>
        <w:t xml:space="preserve"> day of </w:t>
      </w:r>
      <w:r w:rsidR="00B971D9" w:rsidRPr="00B971D9">
        <w:rPr>
          <w:sz w:val="28"/>
          <w:szCs w:val="28"/>
        </w:rPr>
        <w:t xml:space="preserve">March, </w:t>
      </w:r>
      <w:r w:rsidRPr="00B971D9">
        <w:rPr>
          <w:sz w:val="28"/>
          <w:szCs w:val="28"/>
        </w:rPr>
        <w:t>2022.</w:t>
      </w:r>
    </w:p>
    <w:p w:rsidR="0035708D" w:rsidRPr="00B971D9" w:rsidRDefault="0035708D" w:rsidP="002578BC">
      <w:pPr>
        <w:ind w:firstLine="720"/>
        <w:rPr>
          <w:sz w:val="28"/>
          <w:szCs w:val="28"/>
        </w:rPr>
      </w:pPr>
    </w:p>
    <w:p w:rsidR="002578BC" w:rsidRPr="00B971D9" w:rsidRDefault="002578BC" w:rsidP="00B971D9">
      <w:pPr>
        <w:pStyle w:val="SignatureBlockIndent"/>
        <w:ind w:right="-180"/>
        <w:rPr>
          <w:sz w:val="28"/>
          <w:szCs w:val="28"/>
        </w:rPr>
      </w:pPr>
      <w:r w:rsidRPr="00B971D9">
        <w:rPr>
          <w:sz w:val="28"/>
          <w:szCs w:val="28"/>
        </w:rPr>
        <w:t>JENNINGS, STROUSS &amp; SALMON, P.L.C.</w:t>
      </w:r>
    </w:p>
    <w:p w:rsidR="002578BC" w:rsidRPr="00B971D9" w:rsidRDefault="00AA691D" w:rsidP="002578BC">
      <w:pPr>
        <w:pStyle w:val="SignatureBlockIndent"/>
        <w:rPr>
          <w:sz w:val="28"/>
          <w:szCs w:val="28"/>
        </w:rPr>
      </w:pPr>
      <w:r>
        <w:rPr>
          <w:sz w:val="28"/>
          <w:szCs w:val="28"/>
        </w:rPr>
        <w:tab/>
      </w:r>
      <w:r>
        <w:rPr>
          <w:noProof/>
        </w:rPr>
        <w:drawing>
          <wp:inline distT="0" distB="0" distL="0" distR="0" wp14:anchorId="06416F96" wp14:editId="17628AB6">
            <wp:extent cx="2112645" cy="5429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0926" cy="550193"/>
                    </a:xfrm>
                    <a:prstGeom prst="rect">
                      <a:avLst/>
                    </a:prstGeom>
                    <a:noFill/>
                  </pic:spPr>
                </pic:pic>
              </a:graphicData>
            </a:graphic>
          </wp:inline>
        </w:drawing>
      </w:r>
    </w:p>
    <w:p w:rsidR="002578BC" w:rsidRPr="00B971D9" w:rsidRDefault="002578BC" w:rsidP="002578BC">
      <w:pPr>
        <w:pStyle w:val="SignatureBlockIndent"/>
        <w:tabs>
          <w:tab w:val="right" w:pos="9360"/>
        </w:tabs>
        <w:rPr>
          <w:sz w:val="28"/>
          <w:szCs w:val="28"/>
          <w:u w:val="single"/>
        </w:rPr>
      </w:pPr>
      <w:r w:rsidRPr="00B971D9">
        <w:rPr>
          <w:sz w:val="28"/>
          <w:szCs w:val="28"/>
        </w:rPr>
        <w:t xml:space="preserve">By </w:t>
      </w:r>
      <w:r w:rsidRPr="00B971D9">
        <w:rPr>
          <w:sz w:val="28"/>
          <w:szCs w:val="28"/>
          <w:u w:val="single"/>
        </w:rPr>
        <w:t> </w:t>
      </w:r>
      <w:r w:rsidRPr="00B971D9">
        <w:rPr>
          <w:sz w:val="28"/>
          <w:szCs w:val="28"/>
          <w:u w:val="single"/>
        </w:rPr>
        <w:tab/>
      </w:r>
    </w:p>
    <w:p w:rsidR="002578BC" w:rsidRPr="00B971D9" w:rsidRDefault="002578BC" w:rsidP="002578BC">
      <w:pPr>
        <w:pStyle w:val="SignatureBlockExtraIndent"/>
        <w:rPr>
          <w:sz w:val="28"/>
          <w:szCs w:val="28"/>
        </w:rPr>
      </w:pPr>
      <w:r w:rsidRPr="00B971D9">
        <w:rPr>
          <w:sz w:val="28"/>
          <w:szCs w:val="28"/>
        </w:rPr>
        <w:t>J. Scott Rhodes</w:t>
      </w:r>
      <w:r w:rsidRPr="00B971D9">
        <w:rPr>
          <w:sz w:val="28"/>
          <w:szCs w:val="28"/>
        </w:rPr>
        <w:br/>
        <w:t>Ashley M. Mahoney</w:t>
      </w:r>
    </w:p>
    <w:p w:rsidR="00A438C4" w:rsidRPr="00B971D9" w:rsidRDefault="00A438C4" w:rsidP="002578BC">
      <w:pPr>
        <w:pStyle w:val="SignatureBlockExtraIndent"/>
        <w:rPr>
          <w:i/>
          <w:sz w:val="28"/>
          <w:szCs w:val="28"/>
        </w:rPr>
      </w:pPr>
      <w:r w:rsidRPr="00B971D9">
        <w:rPr>
          <w:i/>
          <w:sz w:val="28"/>
          <w:szCs w:val="28"/>
        </w:rPr>
        <w:t>Attorneys for the Arizona Attorney General’s Office</w:t>
      </w:r>
    </w:p>
    <w:p w:rsidR="002578BC" w:rsidRPr="00B971D9" w:rsidRDefault="002578BC" w:rsidP="002578BC">
      <w:pPr>
        <w:pStyle w:val="SignatureBlockExtraIndent"/>
        <w:rPr>
          <w:sz w:val="28"/>
          <w:szCs w:val="28"/>
        </w:rPr>
      </w:pPr>
      <w:r w:rsidRPr="00B971D9">
        <w:rPr>
          <w:sz w:val="28"/>
          <w:szCs w:val="28"/>
        </w:rPr>
        <w:t>One East Washington Street, Suite 1900</w:t>
      </w:r>
    </w:p>
    <w:p w:rsidR="002578BC" w:rsidRDefault="002578BC" w:rsidP="002578BC">
      <w:pPr>
        <w:pStyle w:val="SignatureBlockExtraIndent"/>
        <w:rPr>
          <w:sz w:val="28"/>
          <w:szCs w:val="28"/>
        </w:rPr>
      </w:pPr>
      <w:r w:rsidRPr="00B971D9">
        <w:rPr>
          <w:sz w:val="28"/>
          <w:szCs w:val="28"/>
        </w:rPr>
        <w:t>Phoenix, Arizona 85004-2554</w:t>
      </w:r>
    </w:p>
    <w:p w:rsidR="00BC1A30" w:rsidRDefault="00BC1A30" w:rsidP="002578BC">
      <w:pPr>
        <w:pStyle w:val="SignatureBlockExtraIndent"/>
        <w:rPr>
          <w:sz w:val="28"/>
          <w:szCs w:val="28"/>
        </w:rPr>
      </w:pPr>
    </w:p>
    <w:sectPr w:rsidR="00BC1A30" w:rsidSect="00B971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8BC" w:rsidRDefault="002578BC">
      <w:r>
        <w:separator/>
      </w:r>
    </w:p>
  </w:endnote>
  <w:endnote w:type="continuationSeparator" w:id="0">
    <w:p w:rsidR="002578BC" w:rsidRDefault="0025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129B" w:rsidRDefault="007F12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129B" w:rsidRDefault="007F12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207288"/>
      <w:docPartObj>
        <w:docPartGallery w:val="Page Numbers (Bottom of Page)"/>
        <w:docPartUnique/>
      </w:docPartObj>
    </w:sdtPr>
    <w:sdtEndPr>
      <w:rPr>
        <w:noProof/>
      </w:rPr>
    </w:sdtEndPr>
    <w:sdtContent>
      <w:p w:rsidR="00B971D9" w:rsidRDefault="00B971D9">
        <w:pPr>
          <w:pStyle w:val="Footer"/>
          <w:jc w:val="center"/>
          <w:rPr>
            <w:noProof/>
          </w:rPr>
        </w:pPr>
        <w:r>
          <w:fldChar w:fldCharType="begin"/>
        </w:r>
        <w:r>
          <w:instrText xml:space="preserve"> PAGE   \* MERGEFORMAT </w:instrText>
        </w:r>
        <w:r>
          <w:fldChar w:fldCharType="separate"/>
        </w:r>
        <w:r w:rsidR="004E149C">
          <w:rPr>
            <w:noProof/>
          </w:rPr>
          <w:t>2</w:t>
        </w:r>
        <w:r>
          <w:rPr>
            <w:noProof/>
          </w:rPr>
          <w:fldChar w:fldCharType="end"/>
        </w:r>
      </w:p>
    </w:sdtContent>
  </w:sdt>
  <w:p w:rsidR="00D83795" w:rsidRDefault="004E149C" w:rsidP="004E149C">
    <w:pPr>
      <w:pStyle w:val="Footer"/>
      <w:jc w:val="right"/>
    </w:pPr>
    <w:bookmarkStart w:id="9" w:name="IManageStamp_Section1"/>
    <w:r>
      <w:rPr>
        <w:rFonts w:ascii="Verdana" w:hAnsi="Verdana"/>
        <w:sz w:val="16"/>
      </w:rPr>
      <w:t>8098103v1(56766.14)</w:t>
    </w:r>
    <w:bookmarkEnd w:id="9"/>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C45" w:rsidRDefault="003A0C45">
    <w:pPr>
      <w:pStyle w:val="Footer"/>
    </w:pPr>
  </w:p>
  <w:p w:rsidR="00D83795" w:rsidRDefault="004E149C" w:rsidP="004E149C">
    <w:pPr>
      <w:pStyle w:val="Footer"/>
      <w:jc w:val="right"/>
    </w:pPr>
    <w:bookmarkStart w:id="10" w:name="IManageStamp_Section1_First"/>
    <w:r>
      <w:rPr>
        <w:rFonts w:ascii="Verdana" w:hAnsi="Verdana"/>
        <w:sz w:val="16"/>
      </w:rPr>
      <w:t>8098103v1(56766.14)</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8BC" w:rsidRDefault="002578BC">
      <w:r>
        <w:separator/>
      </w:r>
    </w:p>
  </w:footnote>
  <w:footnote w:type="continuationSeparator" w:id="0">
    <w:p w:rsidR="002578BC" w:rsidRDefault="002578BC">
      <w:r>
        <w:continuationSeparator/>
      </w:r>
    </w:p>
  </w:footnote>
  <w:footnote w:id="1">
    <w:p w:rsidR="00FC60D7" w:rsidRPr="00B971D9" w:rsidRDefault="00FC60D7" w:rsidP="00B971D9">
      <w:pPr>
        <w:pStyle w:val="FootnoteText"/>
        <w:jc w:val="both"/>
        <w:rPr>
          <w:sz w:val="28"/>
          <w:szCs w:val="28"/>
        </w:rPr>
      </w:pPr>
      <w:r w:rsidRPr="00B971D9">
        <w:rPr>
          <w:rStyle w:val="FootnoteReference"/>
          <w:sz w:val="28"/>
          <w:szCs w:val="28"/>
        </w:rPr>
        <w:footnoteRef/>
      </w:r>
      <w:r w:rsidRPr="00B971D9">
        <w:rPr>
          <w:sz w:val="28"/>
          <w:szCs w:val="28"/>
        </w:rPr>
        <w:t xml:space="preserve"> </w:t>
      </w:r>
      <w:r w:rsidR="00FE6351" w:rsidRPr="00B971D9">
        <w:rPr>
          <w:sz w:val="28"/>
          <w:szCs w:val="28"/>
        </w:rPr>
        <w:t>G</w:t>
      </w:r>
      <w:r w:rsidRPr="00B971D9">
        <w:rPr>
          <w:sz w:val="28"/>
          <w:szCs w:val="28"/>
        </w:rPr>
        <w:t>iving clients the right to waive</w:t>
      </w:r>
      <w:r w:rsidR="00FE6351" w:rsidRPr="00B971D9">
        <w:rPr>
          <w:sz w:val="28"/>
          <w:szCs w:val="28"/>
        </w:rPr>
        <w:t xml:space="preserve"> a conflict in situations where the government lawyer has a legal duty to take action that is adverse to the client is tantamount to giving the client</w:t>
      </w:r>
      <w:r w:rsidRPr="00B971D9">
        <w:rPr>
          <w:sz w:val="28"/>
          <w:szCs w:val="28"/>
        </w:rPr>
        <w:t xml:space="preserve">, </w:t>
      </w:r>
      <w:r w:rsidR="00FE6351" w:rsidRPr="00B971D9">
        <w:rPr>
          <w:sz w:val="28"/>
          <w:szCs w:val="28"/>
        </w:rPr>
        <w:t>through the Ethical Rules,</w:t>
      </w:r>
      <w:r w:rsidRPr="00B971D9">
        <w:rPr>
          <w:sz w:val="28"/>
          <w:szCs w:val="28"/>
        </w:rPr>
        <w:t xml:space="preserve"> the </w:t>
      </w:r>
      <w:r w:rsidR="00FE6351" w:rsidRPr="00B971D9">
        <w:rPr>
          <w:sz w:val="28"/>
          <w:szCs w:val="28"/>
        </w:rPr>
        <w:t>power</w:t>
      </w:r>
      <w:r w:rsidRPr="00B971D9">
        <w:rPr>
          <w:sz w:val="28"/>
          <w:szCs w:val="28"/>
        </w:rPr>
        <w:t xml:space="preserve"> to block </w:t>
      </w:r>
      <w:r w:rsidR="00FE6351" w:rsidRPr="00B971D9">
        <w:rPr>
          <w:sz w:val="28"/>
          <w:szCs w:val="28"/>
        </w:rPr>
        <w:t>a</w:t>
      </w:r>
      <w:r w:rsidR="00FE5D14">
        <w:rPr>
          <w:sz w:val="28"/>
          <w:szCs w:val="28"/>
        </w:rPr>
        <w:t xml:space="preserve"> government</w:t>
      </w:r>
      <w:r w:rsidRPr="00B971D9">
        <w:rPr>
          <w:sz w:val="28"/>
          <w:szCs w:val="28"/>
        </w:rPr>
        <w:t xml:space="preserve"> lawyer from fulfilling their obligations under other law</w:t>
      </w:r>
      <w:r w:rsidR="008941AC" w:rsidRPr="00B971D9">
        <w:rPr>
          <w:sz w:val="28"/>
          <w:szCs w:val="28"/>
        </w:rPr>
        <w:t>, a situation that</w:t>
      </w:r>
      <w:r w:rsidR="00FE6351" w:rsidRPr="00B971D9">
        <w:rPr>
          <w:sz w:val="28"/>
          <w:szCs w:val="28"/>
        </w:rPr>
        <w:t xml:space="preserve"> implicates</w:t>
      </w:r>
      <w:r w:rsidRPr="00B971D9">
        <w:rPr>
          <w:sz w:val="28"/>
          <w:szCs w:val="28"/>
        </w:rPr>
        <w:t xml:space="preserve"> the doctrine of separation of powers.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14" w:rsidRDefault="00FE5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14" w:rsidRDefault="00FE5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D14" w:rsidRDefault="00FE5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070F8"/>
    <w:multiLevelType w:val="hybridMultilevel"/>
    <w:tmpl w:val="32AEC492"/>
    <w:lvl w:ilvl="0" w:tplc="B1C666C8">
      <w:start w:val="1"/>
      <w:numFmt w:val="bullet"/>
      <w:lvlText w:val=""/>
      <w:lvlJc w:val="left"/>
      <w:pPr>
        <w:tabs>
          <w:tab w:val="num" w:pos="720"/>
        </w:tabs>
        <w:ind w:left="720" w:hanging="360"/>
      </w:pPr>
      <w:rPr>
        <w:rFonts w:ascii="Wingdings" w:hAnsi="Wingdings" w:hint="default"/>
      </w:rPr>
    </w:lvl>
    <w:lvl w:ilvl="1" w:tplc="8FDA3756" w:tentative="1">
      <w:start w:val="1"/>
      <w:numFmt w:val="bullet"/>
      <w:lvlText w:val=""/>
      <w:lvlJc w:val="left"/>
      <w:pPr>
        <w:tabs>
          <w:tab w:val="num" w:pos="1440"/>
        </w:tabs>
        <w:ind w:left="1440" w:hanging="360"/>
      </w:pPr>
      <w:rPr>
        <w:rFonts w:ascii="Wingdings" w:hAnsi="Wingdings" w:hint="default"/>
      </w:rPr>
    </w:lvl>
    <w:lvl w:ilvl="2" w:tplc="405A4D56" w:tentative="1">
      <w:start w:val="1"/>
      <w:numFmt w:val="bullet"/>
      <w:lvlText w:val=""/>
      <w:lvlJc w:val="left"/>
      <w:pPr>
        <w:tabs>
          <w:tab w:val="num" w:pos="2160"/>
        </w:tabs>
        <w:ind w:left="2160" w:hanging="360"/>
      </w:pPr>
      <w:rPr>
        <w:rFonts w:ascii="Wingdings" w:hAnsi="Wingdings" w:hint="default"/>
      </w:rPr>
    </w:lvl>
    <w:lvl w:ilvl="3" w:tplc="45B4722E" w:tentative="1">
      <w:start w:val="1"/>
      <w:numFmt w:val="bullet"/>
      <w:lvlText w:val=""/>
      <w:lvlJc w:val="left"/>
      <w:pPr>
        <w:tabs>
          <w:tab w:val="num" w:pos="2880"/>
        </w:tabs>
        <w:ind w:left="2880" w:hanging="360"/>
      </w:pPr>
      <w:rPr>
        <w:rFonts w:ascii="Wingdings" w:hAnsi="Wingdings" w:hint="default"/>
      </w:rPr>
    </w:lvl>
    <w:lvl w:ilvl="4" w:tplc="DF160B7C" w:tentative="1">
      <w:start w:val="1"/>
      <w:numFmt w:val="bullet"/>
      <w:lvlText w:val=""/>
      <w:lvlJc w:val="left"/>
      <w:pPr>
        <w:tabs>
          <w:tab w:val="num" w:pos="3600"/>
        </w:tabs>
        <w:ind w:left="3600" w:hanging="360"/>
      </w:pPr>
      <w:rPr>
        <w:rFonts w:ascii="Wingdings" w:hAnsi="Wingdings" w:hint="default"/>
      </w:rPr>
    </w:lvl>
    <w:lvl w:ilvl="5" w:tplc="0A7EFAA2" w:tentative="1">
      <w:start w:val="1"/>
      <w:numFmt w:val="bullet"/>
      <w:lvlText w:val=""/>
      <w:lvlJc w:val="left"/>
      <w:pPr>
        <w:tabs>
          <w:tab w:val="num" w:pos="4320"/>
        </w:tabs>
        <w:ind w:left="4320" w:hanging="360"/>
      </w:pPr>
      <w:rPr>
        <w:rFonts w:ascii="Wingdings" w:hAnsi="Wingdings" w:hint="default"/>
      </w:rPr>
    </w:lvl>
    <w:lvl w:ilvl="6" w:tplc="CA5A8304" w:tentative="1">
      <w:start w:val="1"/>
      <w:numFmt w:val="bullet"/>
      <w:lvlText w:val=""/>
      <w:lvlJc w:val="left"/>
      <w:pPr>
        <w:tabs>
          <w:tab w:val="num" w:pos="5040"/>
        </w:tabs>
        <w:ind w:left="5040" w:hanging="360"/>
      </w:pPr>
      <w:rPr>
        <w:rFonts w:ascii="Wingdings" w:hAnsi="Wingdings" w:hint="default"/>
      </w:rPr>
    </w:lvl>
    <w:lvl w:ilvl="7" w:tplc="8FCC2240" w:tentative="1">
      <w:start w:val="1"/>
      <w:numFmt w:val="bullet"/>
      <w:lvlText w:val=""/>
      <w:lvlJc w:val="left"/>
      <w:pPr>
        <w:tabs>
          <w:tab w:val="num" w:pos="5760"/>
        </w:tabs>
        <w:ind w:left="5760" w:hanging="360"/>
      </w:pPr>
      <w:rPr>
        <w:rFonts w:ascii="Wingdings" w:hAnsi="Wingdings" w:hint="default"/>
      </w:rPr>
    </w:lvl>
    <w:lvl w:ilvl="8" w:tplc="4552BA0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521C06"/>
    <w:multiLevelType w:val="multilevel"/>
    <w:tmpl w:val="BBD8CADE"/>
    <w:lvl w:ilvl="0">
      <w:start w:val="1"/>
      <w:numFmt w:val="upperRoman"/>
      <w:lvlText w:val="%1."/>
      <w:lvlJc w:val="left"/>
      <w:pPr>
        <w:tabs>
          <w:tab w:val="num" w:pos="1440"/>
        </w:tabs>
        <w:ind w:left="0" w:firstLine="720"/>
      </w:pPr>
      <w:rPr>
        <w:u w:val="none"/>
      </w:rPr>
    </w:lvl>
    <w:lvl w:ilvl="1">
      <w:start w:val="1"/>
      <w:numFmt w:val="upperLetter"/>
      <w:lvlText w:val="%2."/>
      <w:lvlJc w:val="left"/>
      <w:pPr>
        <w:tabs>
          <w:tab w:val="num" w:pos="1800"/>
        </w:tabs>
        <w:ind w:left="0" w:firstLine="1440"/>
      </w:pPr>
      <w:rPr>
        <w:u w:val="none"/>
      </w:rPr>
    </w:lvl>
    <w:lvl w:ilvl="2">
      <w:start w:val="1"/>
      <w:numFmt w:val="decimal"/>
      <w:lvlText w:val="%3."/>
      <w:lvlJc w:val="left"/>
      <w:pPr>
        <w:tabs>
          <w:tab w:val="num" w:pos="2520"/>
        </w:tabs>
        <w:ind w:left="0" w:firstLine="2160"/>
      </w:pPr>
      <w:rPr>
        <w:u w:val="none"/>
      </w:rPr>
    </w:lvl>
    <w:lvl w:ilvl="3">
      <w:start w:val="1"/>
      <w:numFmt w:val="lowerLetter"/>
      <w:lvlText w:val="(%4)"/>
      <w:lvlJc w:val="left"/>
      <w:pPr>
        <w:tabs>
          <w:tab w:val="num" w:pos="3240"/>
        </w:tabs>
        <w:ind w:left="0" w:firstLine="2880"/>
      </w:pPr>
      <w:rPr>
        <w:u w:val="none"/>
      </w:rPr>
    </w:lvl>
    <w:lvl w:ilvl="4">
      <w:start w:val="1"/>
      <w:numFmt w:val="lowerRoman"/>
      <w:lvlText w:val="(%5)"/>
      <w:lvlJc w:val="left"/>
      <w:pPr>
        <w:tabs>
          <w:tab w:val="num" w:pos="4320"/>
        </w:tabs>
        <w:ind w:left="0" w:firstLine="3600"/>
      </w:pPr>
      <w:rPr>
        <w:u w:val="none"/>
      </w:r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28BA2A23"/>
    <w:multiLevelType w:val="hybridMultilevel"/>
    <w:tmpl w:val="5BE6D980"/>
    <w:lvl w:ilvl="0" w:tplc="C60A1CDC">
      <w:start w:val="1"/>
      <w:numFmt w:val="bullet"/>
      <w:lvlText w:val=""/>
      <w:lvlJc w:val="left"/>
      <w:pPr>
        <w:tabs>
          <w:tab w:val="num" w:pos="720"/>
        </w:tabs>
        <w:ind w:left="720" w:hanging="360"/>
      </w:pPr>
      <w:rPr>
        <w:rFonts w:ascii="Wingdings" w:hAnsi="Wingdings" w:hint="default"/>
      </w:rPr>
    </w:lvl>
    <w:lvl w:ilvl="1" w:tplc="820ECCC2" w:tentative="1">
      <w:start w:val="1"/>
      <w:numFmt w:val="bullet"/>
      <w:lvlText w:val=""/>
      <w:lvlJc w:val="left"/>
      <w:pPr>
        <w:tabs>
          <w:tab w:val="num" w:pos="1440"/>
        </w:tabs>
        <w:ind w:left="1440" w:hanging="360"/>
      </w:pPr>
      <w:rPr>
        <w:rFonts w:ascii="Wingdings" w:hAnsi="Wingdings" w:hint="default"/>
      </w:rPr>
    </w:lvl>
    <w:lvl w:ilvl="2" w:tplc="E85A5BD8" w:tentative="1">
      <w:start w:val="1"/>
      <w:numFmt w:val="bullet"/>
      <w:lvlText w:val=""/>
      <w:lvlJc w:val="left"/>
      <w:pPr>
        <w:tabs>
          <w:tab w:val="num" w:pos="2160"/>
        </w:tabs>
        <w:ind w:left="2160" w:hanging="360"/>
      </w:pPr>
      <w:rPr>
        <w:rFonts w:ascii="Wingdings" w:hAnsi="Wingdings" w:hint="default"/>
      </w:rPr>
    </w:lvl>
    <w:lvl w:ilvl="3" w:tplc="C57478CC" w:tentative="1">
      <w:start w:val="1"/>
      <w:numFmt w:val="bullet"/>
      <w:lvlText w:val=""/>
      <w:lvlJc w:val="left"/>
      <w:pPr>
        <w:tabs>
          <w:tab w:val="num" w:pos="2880"/>
        </w:tabs>
        <w:ind w:left="2880" w:hanging="360"/>
      </w:pPr>
      <w:rPr>
        <w:rFonts w:ascii="Wingdings" w:hAnsi="Wingdings" w:hint="default"/>
      </w:rPr>
    </w:lvl>
    <w:lvl w:ilvl="4" w:tplc="BAD8911A" w:tentative="1">
      <w:start w:val="1"/>
      <w:numFmt w:val="bullet"/>
      <w:lvlText w:val=""/>
      <w:lvlJc w:val="left"/>
      <w:pPr>
        <w:tabs>
          <w:tab w:val="num" w:pos="3600"/>
        </w:tabs>
        <w:ind w:left="3600" w:hanging="360"/>
      </w:pPr>
      <w:rPr>
        <w:rFonts w:ascii="Wingdings" w:hAnsi="Wingdings" w:hint="default"/>
      </w:rPr>
    </w:lvl>
    <w:lvl w:ilvl="5" w:tplc="FDD68686" w:tentative="1">
      <w:start w:val="1"/>
      <w:numFmt w:val="bullet"/>
      <w:lvlText w:val=""/>
      <w:lvlJc w:val="left"/>
      <w:pPr>
        <w:tabs>
          <w:tab w:val="num" w:pos="4320"/>
        </w:tabs>
        <w:ind w:left="4320" w:hanging="360"/>
      </w:pPr>
      <w:rPr>
        <w:rFonts w:ascii="Wingdings" w:hAnsi="Wingdings" w:hint="default"/>
      </w:rPr>
    </w:lvl>
    <w:lvl w:ilvl="6" w:tplc="52A4CB66" w:tentative="1">
      <w:start w:val="1"/>
      <w:numFmt w:val="bullet"/>
      <w:lvlText w:val=""/>
      <w:lvlJc w:val="left"/>
      <w:pPr>
        <w:tabs>
          <w:tab w:val="num" w:pos="5040"/>
        </w:tabs>
        <w:ind w:left="5040" w:hanging="360"/>
      </w:pPr>
      <w:rPr>
        <w:rFonts w:ascii="Wingdings" w:hAnsi="Wingdings" w:hint="default"/>
      </w:rPr>
    </w:lvl>
    <w:lvl w:ilvl="7" w:tplc="87E6F484" w:tentative="1">
      <w:start w:val="1"/>
      <w:numFmt w:val="bullet"/>
      <w:lvlText w:val=""/>
      <w:lvlJc w:val="left"/>
      <w:pPr>
        <w:tabs>
          <w:tab w:val="num" w:pos="5760"/>
        </w:tabs>
        <w:ind w:left="5760" w:hanging="360"/>
      </w:pPr>
      <w:rPr>
        <w:rFonts w:ascii="Wingdings" w:hAnsi="Wingdings" w:hint="default"/>
      </w:rPr>
    </w:lvl>
    <w:lvl w:ilvl="8" w:tplc="095AFE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792549"/>
    <w:multiLevelType w:val="hybridMultilevel"/>
    <w:tmpl w:val="1E88D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BB35E5"/>
    <w:multiLevelType w:val="hybridMultilevel"/>
    <w:tmpl w:val="9BE41D14"/>
    <w:lvl w:ilvl="0" w:tplc="EE48FEC2">
      <w:start w:val="1"/>
      <w:numFmt w:val="bullet"/>
      <w:lvlText w:val=""/>
      <w:lvlJc w:val="left"/>
      <w:pPr>
        <w:tabs>
          <w:tab w:val="num" w:pos="720"/>
        </w:tabs>
        <w:ind w:left="720" w:hanging="360"/>
      </w:pPr>
      <w:rPr>
        <w:rFonts w:ascii="Wingdings" w:hAnsi="Wingdings" w:hint="default"/>
      </w:rPr>
    </w:lvl>
    <w:lvl w:ilvl="1" w:tplc="EF74EF10" w:tentative="1">
      <w:start w:val="1"/>
      <w:numFmt w:val="bullet"/>
      <w:lvlText w:val=""/>
      <w:lvlJc w:val="left"/>
      <w:pPr>
        <w:tabs>
          <w:tab w:val="num" w:pos="1440"/>
        </w:tabs>
        <w:ind w:left="1440" w:hanging="360"/>
      </w:pPr>
      <w:rPr>
        <w:rFonts w:ascii="Wingdings" w:hAnsi="Wingdings" w:hint="default"/>
      </w:rPr>
    </w:lvl>
    <w:lvl w:ilvl="2" w:tplc="D316809A" w:tentative="1">
      <w:start w:val="1"/>
      <w:numFmt w:val="bullet"/>
      <w:lvlText w:val=""/>
      <w:lvlJc w:val="left"/>
      <w:pPr>
        <w:tabs>
          <w:tab w:val="num" w:pos="2160"/>
        </w:tabs>
        <w:ind w:left="2160" w:hanging="360"/>
      </w:pPr>
      <w:rPr>
        <w:rFonts w:ascii="Wingdings" w:hAnsi="Wingdings" w:hint="default"/>
      </w:rPr>
    </w:lvl>
    <w:lvl w:ilvl="3" w:tplc="11985AA2" w:tentative="1">
      <w:start w:val="1"/>
      <w:numFmt w:val="bullet"/>
      <w:lvlText w:val=""/>
      <w:lvlJc w:val="left"/>
      <w:pPr>
        <w:tabs>
          <w:tab w:val="num" w:pos="2880"/>
        </w:tabs>
        <w:ind w:left="2880" w:hanging="360"/>
      </w:pPr>
      <w:rPr>
        <w:rFonts w:ascii="Wingdings" w:hAnsi="Wingdings" w:hint="default"/>
      </w:rPr>
    </w:lvl>
    <w:lvl w:ilvl="4" w:tplc="7A96311C" w:tentative="1">
      <w:start w:val="1"/>
      <w:numFmt w:val="bullet"/>
      <w:lvlText w:val=""/>
      <w:lvlJc w:val="left"/>
      <w:pPr>
        <w:tabs>
          <w:tab w:val="num" w:pos="3600"/>
        </w:tabs>
        <w:ind w:left="3600" w:hanging="360"/>
      </w:pPr>
      <w:rPr>
        <w:rFonts w:ascii="Wingdings" w:hAnsi="Wingdings" w:hint="default"/>
      </w:rPr>
    </w:lvl>
    <w:lvl w:ilvl="5" w:tplc="882EDCB2" w:tentative="1">
      <w:start w:val="1"/>
      <w:numFmt w:val="bullet"/>
      <w:lvlText w:val=""/>
      <w:lvlJc w:val="left"/>
      <w:pPr>
        <w:tabs>
          <w:tab w:val="num" w:pos="4320"/>
        </w:tabs>
        <w:ind w:left="4320" w:hanging="360"/>
      </w:pPr>
      <w:rPr>
        <w:rFonts w:ascii="Wingdings" w:hAnsi="Wingdings" w:hint="default"/>
      </w:rPr>
    </w:lvl>
    <w:lvl w:ilvl="6" w:tplc="17ECF9A6" w:tentative="1">
      <w:start w:val="1"/>
      <w:numFmt w:val="bullet"/>
      <w:lvlText w:val=""/>
      <w:lvlJc w:val="left"/>
      <w:pPr>
        <w:tabs>
          <w:tab w:val="num" w:pos="5040"/>
        </w:tabs>
        <w:ind w:left="5040" w:hanging="360"/>
      </w:pPr>
      <w:rPr>
        <w:rFonts w:ascii="Wingdings" w:hAnsi="Wingdings" w:hint="default"/>
      </w:rPr>
    </w:lvl>
    <w:lvl w:ilvl="7" w:tplc="005AE8D8" w:tentative="1">
      <w:start w:val="1"/>
      <w:numFmt w:val="bullet"/>
      <w:lvlText w:val=""/>
      <w:lvlJc w:val="left"/>
      <w:pPr>
        <w:tabs>
          <w:tab w:val="num" w:pos="5760"/>
        </w:tabs>
        <w:ind w:left="5760" w:hanging="360"/>
      </w:pPr>
      <w:rPr>
        <w:rFonts w:ascii="Wingdings" w:hAnsi="Wingdings" w:hint="default"/>
      </w:rPr>
    </w:lvl>
    <w:lvl w:ilvl="8" w:tplc="30DCB3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F94F37"/>
    <w:multiLevelType w:val="hybridMultilevel"/>
    <w:tmpl w:val="89C4BDDA"/>
    <w:lvl w:ilvl="0" w:tplc="E93C49A8">
      <w:start w:val="1"/>
      <w:numFmt w:val="bullet"/>
      <w:lvlText w:val=""/>
      <w:lvlJc w:val="left"/>
      <w:pPr>
        <w:tabs>
          <w:tab w:val="num" w:pos="720"/>
        </w:tabs>
        <w:ind w:left="720" w:hanging="360"/>
      </w:pPr>
      <w:rPr>
        <w:rFonts w:ascii="Wingdings" w:hAnsi="Wingdings" w:hint="default"/>
      </w:rPr>
    </w:lvl>
    <w:lvl w:ilvl="1" w:tplc="10E22018" w:tentative="1">
      <w:start w:val="1"/>
      <w:numFmt w:val="bullet"/>
      <w:lvlText w:val=""/>
      <w:lvlJc w:val="left"/>
      <w:pPr>
        <w:tabs>
          <w:tab w:val="num" w:pos="1440"/>
        </w:tabs>
        <w:ind w:left="1440" w:hanging="360"/>
      </w:pPr>
      <w:rPr>
        <w:rFonts w:ascii="Wingdings" w:hAnsi="Wingdings" w:hint="default"/>
      </w:rPr>
    </w:lvl>
    <w:lvl w:ilvl="2" w:tplc="B988457E" w:tentative="1">
      <w:start w:val="1"/>
      <w:numFmt w:val="bullet"/>
      <w:lvlText w:val=""/>
      <w:lvlJc w:val="left"/>
      <w:pPr>
        <w:tabs>
          <w:tab w:val="num" w:pos="2160"/>
        </w:tabs>
        <w:ind w:left="2160" w:hanging="360"/>
      </w:pPr>
      <w:rPr>
        <w:rFonts w:ascii="Wingdings" w:hAnsi="Wingdings" w:hint="default"/>
      </w:rPr>
    </w:lvl>
    <w:lvl w:ilvl="3" w:tplc="4B3E089A" w:tentative="1">
      <w:start w:val="1"/>
      <w:numFmt w:val="bullet"/>
      <w:lvlText w:val=""/>
      <w:lvlJc w:val="left"/>
      <w:pPr>
        <w:tabs>
          <w:tab w:val="num" w:pos="2880"/>
        </w:tabs>
        <w:ind w:left="2880" w:hanging="360"/>
      </w:pPr>
      <w:rPr>
        <w:rFonts w:ascii="Wingdings" w:hAnsi="Wingdings" w:hint="default"/>
      </w:rPr>
    </w:lvl>
    <w:lvl w:ilvl="4" w:tplc="4A6CA0E0" w:tentative="1">
      <w:start w:val="1"/>
      <w:numFmt w:val="bullet"/>
      <w:lvlText w:val=""/>
      <w:lvlJc w:val="left"/>
      <w:pPr>
        <w:tabs>
          <w:tab w:val="num" w:pos="3600"/>
        </w:tabs>
        <w:ind w:left="3600" w:hanging="360"/>
      </w:pPr>
      <w:rPr>
        <w:rFonts w:ascii="Wingdings" w:hAnsi="Wingdings" w:hint="default"/>
      </w:rPr>
    </w:lvl>
    <w:lvl w:ilvl="5" w:tplc="46D85F68" w:tentative="1">
      <w:start w:val="1"/>
      <w:numFmt w:val="bullet"/>
      <w:lvlText w:val=""/>
      <w:lvlJc w:val="left"/>
      <w:pPr>
        <w:tabs>
          <w:tab w:val="num" w:pos="4320"/>
        </w:tabs>
        <w:ind w:left="4320" w:hanging="360"/>
      </w:pPr>
      <w:rPr>
        <w:rFonts w:ascii="Wingdings" w:hAnsi="Wingdings" w:hint="default"/>
      </w:rPr>
    </w:lvl>
    <w:lvl w:ilvl="6" w:tplc="8C38DE70" w:tentative="1">
      <w:start w:val="1"/>
      <w:numFmt w:val="bullet"/>
      <w:lvlText w:val=""/>
      <w:lvlJc w:val="left"/>
      <w:pPr>
        <w:tabs>
          <w:tab w:val="num" w:pos="5040"/>
        </w:tabs>
        <w:ind w:left="5040" w:hanging="360"/>
      </w:pPr>
      <w:rPr>
        <w:rFonts w:ascii="Wingdings" w:hAnsi="Wingdings" w:hint="default"/>
      </w:rPr>
    </w:lvl>
    <w:lvl w:ilvl="7" w:tplc="29D41B4C" w:tentative="1">
      <w:start w:val="1"/>
      <w:numFmt w:val="bullet"/>
      <w:lvlText w:val=""/>
      <w:lvlJc w:val="left"/>
      <w:pPr>
        <w:tabs>
          <w:tab w:val="num" w:pos="5760"/>
        </w:tabs>
        <w:ind w:left="5760" w:hanging="360"/>
      </w:pPr>
      <w:rPr>
        <w:rFonts w:ascii="Wingdings" w:hAnsi="Wingdings" w:hint="default"/>
      </w:rPr>
    </w:lvl>
    <w:lvl w:ilvl="8" w:tplc="804EC0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7E01A3"/>
    <w:multiLevelType w:val="hybridMultilevel"/>
    <w:tmpl w:val="DC32105A"/>
    <w:lvl w:ilvl="0" w:tplc="9EDE5766">
      <w:start w:val="1"/>
      <w:numFmt w:val="bullet"/>
      <w:lvlText w:val=""/>
      <w:lvlJc w:val="left"/>
      <w:pPr>
        <w:tabs>
          <w:tab w:val="num" w:pos="720"/>
        </w:tabs>
        <w:ind w:left="720" w:hanging="360"/>
      </w:pPr>
      <w:rPr>
        <w:rFonts w:ascii="Wingdings" w:hAnsi="Wingdings" w:hint="default"/>
      </w:rPr>
    </w:lvl>
    <w:lvl w:ilvl="1" w:tplc="4F4A2E24" w:tentative="1">
      <w:start w:val="1"/>
      <w:numFmt w:val="bullet"/>
      <w:lvlText w:val=""/>
      <w:lvlJc w:val="left"/>
      <w:pPr>
        <w:tabs>
          <w:tab w:val="num" w:pos="1440"/>
        </w:tabs>
        <w:ind w:left="1440" w:hanging="360"/>
      </w:pPr>
      <w:rPr>
        <w:rFonts w:ascii="Wingdings" w:hAnsi="Wingdings" w:hint="default"/>
      </w:rPr>
    </w:lvl>
    <w:lvl w:ilvl="2" w:tplc="A40E3EB8" w:tentative="1">
      <w:start w:val="1"/>
      <w:numFmt w:val="bullet"/>
      <w:lvlText w:val=""/>
      <w:lvlJc w:val="left"/>
      <w:pPr>
        <w:tabs>
          <w:tab w:val="num" w:pos="2160"/>
        </w:tabs>
        <w:ind w:left="2160" w:hanging="360"/>
      </w:pPr>
      <w:rPr>
        <w:rFonts w:ascii="Wingdings" w:hAnsi="Wingdings" w:hint="default"/>
      </w:rPr>
    </w:lvl>
    <w:lvl w:ilvl="3" w:tplc="977A8712" w:tentative="1">
      <w:start w:val="1"/>
      <w:numFmt w:val="bullet"/>
      <w:lvlText w:val=""/>
      <w:lvlJc w:val="left"/>
      <w:pPr>
        <w:tabs>
          <w:tab w:val="num" w:pos="2880"/>
        </w:tabs>
        <w:ind w:left="2880" w:hanging="360"/>
      </w:pPr>
      <w:rPr>
        <w:rFonts w:ascii="Wingdings" w:hAnsi="Wingdings" w:hint="default"/>
      </w:rPr>
    </w:lvl>
    <w:lvl w:ilvl="4" w:tplc="3C2AA2F2" w:tentative="1">
      <w:start w:val="1"/>
      <w:numFmt w:val="bullet"/>
      <w:lvlText w:val=""/>
      <w:lvlJc w:val="left"/>
      <w:pPr>
        <w:tabs>
          <w:tab w:val="num" w:pos="3600"/>
        </w:tabs>
        <w:ind w:left="3600" w:hanging="360"/>
      </w:pPr>
      <w:rPr>
        <w:rFonts w:ascii="Wingdings" w:hAnsi="Wingdings" w:hint="default"/>
      </w:rPr>
    </w:lvl>
    <w:lvl w:ilvl="5" w:tplc="C8D8B5DA" w:tentative="1">
      <w:start w:val="1"/>
      <w:numFmt w:val="bullet"/>
      <w:lvlText w:val=""/>
      <w:lvlJc w:val="left"/>
      <w:pPr>
        <w:tabs>
          <w:tab w:val="num" w:pos="4320"/>
        </w:tabs>
        <w:ind w:left="4320" w:hanging="360"/>
      </w:pPr>
      <w:rPr>
        <w:rFonts w:ascii="Wingdings" w:hAnsi="Wingdings" w:hint="default"/>
      </w:rPr>
    </w:lvl>
    <w:lvl w:ilvl="6" w:tplc="09E86A04" w:tentative="1">
      <w:start w:val="1"/>
      <w:numFmt w:val="bullet"/>
      <w:lvlText w:val=""/>
      <w:lvlJc w:val="left"/>
      <w:pPr>
        <w:tabs>
          <w:tab w:val="num" w:pos="5040"/>
        </w:tabs>
        <w:ind w:left="5040" w:hanging="360"/>
      </w:pPr>
      <w:rPr>
        <w:rFonts w:ascii="Wingdings" w:hAnsi="Wingdings" w:hint="default"/>
      </w:rPr>
    </w:lvl>
    <w:lvl w:ilvl="7" w:tplc="B1BE4E06" w:tentative="1">
      <w:start w:val="1"/>
      <w:numFmt w:val="bullet"/>
      <w:lvlText w:val=""/>
      <w:lvlJc w:val="left"/>
      <w:pPr>
        <w:tabs>
          <w:tab w:val="num" w:pos="5760"/>
        </w:tabs>
        <w:ind w:left="5760" w:hanging="360"/>
      </w:pPr>
      <w:rPr>
        <w:rFonts w:ascii="Wingdings" w:hAnsi="Wingdings" w:hint="default"/>
      </w:rPr>
    </w:lvl>
    <w:lvl w:ilvl="8" w:tplc="B0E4883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3"/>
  </w:num>
  <w:num w:numId="6">
    <w:abstractNumId w:val="4"/>
  </w:num>
  <w:num w:numId="7">
    <w:abstractNumId w:val="0"/>
  </w:num>
  <w:num w:numId="8">
    <w:abstractNumId w:val="2"/>
  </w:num>
  <w:num w:numId="9">
    <w:abstractNumId w:val="5"/>
  </w:num>
  <w:num w:numId="1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8BC"/>
    <w:rsid w:val="00031250"/>
    <w:rsid w:val="0005493E"/>
    <w:rsid w:val="000760F4"/>
    <w:rsid w:val="000B0A09"/>
    <w:rsid w:val="000C1C80"/>
    <w:rsid w:val="000C3594"/>
    <w:rsid w:val="001704EC"/>
    <w:rsid w:val="001729EF"/>
    <w:rsid w:val="00176B97"/>
    <w:rsid w:val="0024140D"/>
    <w:rsid w:val="002578BC"/>
    <w:rsid w:val="002E1A51"/>
    <w:rsid w:val="002F6B34"/>
    <w:rsid w:val="003428B5"/>
    <w:rsid w:val="0035708D"/>
    <w:rsid w:val="00362056"/>
    <w:rsid w:val="003A0C45"/>
    <w:rsid w:val="003B0122"/>
    <w:rsid w:val="003B4E38"/>
    <w:rsid w:val="0043051A"/>
    <w:rsid w:val="00431C86"/>
    <w:rsid w:val="004579B4"/>
    <w:rsid w:val="00491E47"/>
    <w:rsid w:val="00496616"/>
    <w:rsid w:val="00496CC3"/>
    <w:rsid w:val="004C0FD8"/>
    <w:rsid w:val="004C6376"/>
    <w:rsid w:val="004E149C"/>
    <w:rsid w:val="004E5612"/>
    <w:rsid w:val="00580FDE"/>
    <w:rsid w:val="005831F4"/>
    <w:rsid w:val="005C6451"/>
    <w:rsid w:val="005D07F9"/>
    <w:rsid w:val="00633F31"/>
    <w:rsid w:val="0066295E"/>
    <w:rsid w:val="006701C3"/>
    <w:rsid w:val="00693CD0"/>
    <w:rsid w:val="006B7324"/>
    <w:rsid w:val="007110F1"/>
    <w:rsid w:val="0072252E"/>
    <w:rsid w:val="00722734"/>
    <w:rsid w:val="00756F38"/>
    <w:rsid w:val="00780927"/>
    <w:rsid w:val="007861A0"/>
    <w:rsid w:val="007A3CC6"/>
    <w:rsid w:val="007D4183"/>
    <w:rsid w:val="007E21A3"/>
    <w:rsid w:val="007F129B"/>
    <w:rsid w:val="00841C58"/>
    <w:rsid w:val="00855E23"/>
    <w:rsid w:val="00862B28"/>
    <w:rsid w:val="00877EEC"/>
    <w:rsid w:val="00880582"/>
    <w:rsid w:val="008941AC"/>
    <w:rsid w:val="009414C9"/>
    <w:rsid w:val="00950AAD"/>
    <w:rsid w:val="00954B63"/>
    <w:rsid w:val="00972786"/>
    <w:rsid w:val="00976E21"/>
    <w:rsid w:val="009B1EAE"/>
    <w:rsid w:val="009C0208"/>
    <w:rsid w:val="009E4919"/>
    <w:rsid w:val="00A05B41"/>
    <w:rsid w:val="00A15FBC"/>
    <w:rsid w:val="00A438C4"/>
    <w:rsid w:val="00A5377E"/>
    <w:rsid w:val="00A83688"/>
    <w:rsid w:val="00A87C0A"/>
    <w:rsid w:val="00A912A1"/>
    <w:rsid w:val="00AA691D"/>
    <w:rsid w:val="00AB4EDD"/>
    <w:rsid w:val="00AE3608"/>
    <w:rsid w:val="00AF31A0"/>
    <w:rsid w:val="00B27574"/>
    <w:rsid w:val="00B64429"/>
    <w:rsid w:val="00B66F15"/>
    <w:rsid w:val="00B75D9F"/>
    <w:rsid w:val="00B971D9"/>
    <w:rsid w:val="00BC0C05"/>
    <w:rsid w:val="00BC1A30"/>
    <w:rsid w:val="00BE31CE"/>
    <w:rsid w:val="00BF14DA"/>
    <w:rsid w:val="00BF4FB5"/>
    <w:rsid w:val="00BF6ED2"/>
    <w:rsid w:val="00C17834"/>
    <w:rsid w:val="00C352C3"/>
    <w:rsid w:val="00C67B28"/>
    <w:rsid w:val="00C71193"/>
    <w:rsid w:val="00CB5EBE"/>
    <w:rsid w:val="00D07D40"/>
    <w:rsid w:val="00D7618D"/>
    <w:rsid w:val="00D8112A"/>
    <w:rsid w:val="00D83795"/>
    <w:rsid w:val="00DC2DF1"/>
    <w:rsid w:val="00DF128F"/>
    <w:rsid w:val="00DF3B63"/>
    <w:rsid w:val="00DF58F7"/>
    <w:rsid w:val="00E21B43"/>
    <w:rsid w:val="00E4709C"/>
    <w:rsid w:val="00E724D6"/>
    <w:rsid w:val="00ED01E9"/>
    <w:rsid w:val="00F174D1"/>
    <w:rsid w:val="00F32B9E"/>
    <w:rsid w:val="00F645B5"/>
    <w:rsid w:val="00F65CA2"/>
    <w:rsid w:val="00F73171"/>
    <w:rsid w:val="00FC60D7"/>
    <w:rsid w:val="00FE5D14"/>
    <w:rsid w:val="00FE6351"/>
    <w:rsid w:val="00FF2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5:docId w15:val="{AB4CF776-3259-4C8A-98E4-0681E168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line="490" w:lineRule="exact"/>
    </w:pPr>
    <w:rPr>
      <w:sz w:val="26"/>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2"/>
      </w:numPr>
      <w:outlineLvl w:val="6"/>
    </w:pPr>
  </w:style>
  <w:style w:type="paragraph" w:styleId="Heading8">
    <w:name w:val="heading 8"/>
    <w:basedOn w:val="Normal"/>
    <w:next w:val="Normal"/>
    <w:qFormat/>
    <w:pPr>
      <w:numPr>
        <w:ilvl w:val="7"/>
        <w:numId w:val="3"/>
      </w:numPr>
      <w:outlineLvl w:val="7"/>
    </w:pPr>
  </w:style>
  <w:style w:type="paragraph" w:styleId="Heading9">
    <w:name w:val="heading 9"/>
    <w:basedOn w:val="Normal"/>
    <w:next w:val="Normal"/>
    <w:qFormat/>
    <w:pPr>
      <w:numPr>
        <w:ilvl w:val="8"/>
        <w:numId w:val="4"/>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link w:val="FooterChar"/>
    <w:uiPriority w:val="99"/>
    <w:pPr>
      <w:tabs>
        <w:tab w:val="center" w:pos="4680"/>
        <w:tab w:val="right" w:pos="9360"/>
      </w:tabs>
      <w:spacing w:line="245" w:lineRule="exact"/>
    </w:pPr>
  </w:style>
  <w:style w:type="character" w:styleId="PageNumber">
    <w:name w:val="page number"/>
    <w:basedOn w:val="DefaultParagraphFont"/>
    <w:rPr>
      <w:rFonts w:ascii="Times New Roman" w:hAnsi="Times New Roman"/>
      <w:sz w:val="26"/>
    </w:rPr>
  </w:style>
  <w:style w:type="paragraph" w:customStyle="1" w:styleId="LineNumbering">
    <w:name w:val="Line Numbering"/>
    <w:basedOn w:val="Normal"/>
    <w:pPr>
      <w:pBdr>
        <w:right w:val="double" w:sz="4" w:space="2" w:color="auto"/>
      </w:pBdr>
      <w:jc w:val="right"/>
    </w:pPr>
    <w:rPr>
      <w:sz w:val="21"/>
    </w:rPr>
  </w:style>
  <w:style w:type="paragraph" w:customStyle="1" w:styleId="Caption-FirmInfo">
    <w:name w:val="Caption - Firm Info"/>
    <w:basedOn w:val="Normal"/>
    <w:pPr>
      <w:spacing w:line="245" w:lineRule="exact"/>
      <w:ind w:right="4320"/>
      <w:jc w:val="center"/>
    </w:pPr>
  </w:style>
  <w:style w:type="paragraph" w:customStyle="1" w:styleId="Caption-ClientInfo">
    <w:name w:val="Caption - Client Info"/>
    <w:basedOn w:val="Normal"/>
    <w:pPr>
      <w:spacing w:line="245" w:lineRule="exact"/>
      <w:ind w:right="4320"/>
    </w:pPr>
  </w:style>
  <w:style w:type="paragraph" w:customStyle="1" w:styleId="Caption-title">
    <w:name w:val="Caption - title"/>
    <w:basedOn w:val="Normal"/>
    <w:pPr>
      <w:spacing w:line="245" w:lineRule="exact"/>
      <w:jc w:val="center"/>
    </w:pPr>
    <w:rPr>
      <w:b/>
      <w:caps/>
    </w:rPr>
  </w:style>
  <w:style w:type="paragraph" w:customStyle="1" w:styleId="Caption-PlaintiffDefendant">
    <w:name w:val="Caption - Plaintiff/Defendant"/>
    <w:basedOn w:val="Normal"/>
    <w:pPr>
      <w:spacing w:line="245" w:lineRule="exact"/>
    </w:pPr>
  </w:style>
  <w:style w:type="paragraph" w:customStyle="1" w:styleId="Caption-RightSide">
    <w:name w:val="Caption - Right Side"/>
    <w:basedOn w:val="Normal"/>
    <w:pPr>
      <w:spacing w:line="245" w:lineRule="exact"/>
      <w:ind w:left="259"/>
    </w:pPr>
  </w:style>
  <w:style w:type="paragraph" w:customStyle="1" w:styleId="SignatureBlockExtraIndent">
    <w:name w:val="Signature Block Extra Indent"/>
    <w:basedOn w:val="Normal"/>
    <w:pPr>
      <w:spacing w:line="240" w:lineRule="auto"/>
      <w:ind w:left="4766"/>
    </w:pPr>
  </w:style>
  <w:style w:type="paragraph" w:customStyle="1" w:styleId="SingleSpaced">
    <w:name w:val="Single Spaced"/>
    <w:basedOn w:val="Normal"/>
    <w:pPr>
      <w:spacing w:line="245" w:lineRule="exact"/>
    </w:pPr>
  </w:style>
  <w:style w:type="paragraph" w:customStyle="1" w:styleId="SignatureBlockIndent">
    <w:name w:val="Signature Block Indent"/>
    <w:basedOn w:val="Normal"/>
    <w:pPr>
      <w:spacing w:line="240" w:lineRule="auto"/>
      <w:ind w:left="4320"/>
    </w:pPr>
  </w:style>
  <w:style w:type="paragraph" w:styleId="Caption">
    <w:name w:val="caption"/>
    <w:basedOn w:val="Normal"/>
    <w:next w:val="Normal"/>
    <w:qFormat/>
    <w:pPr>
      <w:spacing w:line="245" w:lineRule="exact"/>
    </w:pPr>
    <w:rPr>
      <w:b/>
    </w:rPr>
  </w:style>
  <w:style w:type="paragraph" w:styleId="FootnoteText">
    <w:name w:val="footnote text"/>
    <w:basedOn w:val="Normal"/>
    <w:semiHidden/>
    <w:pPr>
      <w:spacing w:line="240" w:lineRule="exact"/>
    </w:pPr>
    <w:rPr>
      <w:sz w:val="22"/>
    </w:rPr>
  </w:style>
  <w:style w:type="paragraph" w:styleId="EnvelopeAddress">
    <w:name w:val="envelope address"/>
    <w:basedOn w:val="Normal"/>
    <w:pPr>
      <w:framePr w:w="5760" w:h="2160" w:hRule="exact" w:hSpace="187" w:vSpace="187" w:wrap="around" w:vAnchor="page" w:hAnchor="page" w:x="6841" w:y="3241" w:anchorLock="1"/>
      <w:widowControl/>
      <w:spacing w:line="240" w:lineRule="auto"/>
    </w:pPr>
    <w:rPr>
      <w:sz w:val="24"/>
    </w:rPr>
  </w:style>
  <w:style w:type="paragraph" w:styleId="EnvelopeReturn">
    <w:name w:val="envelope return"/>
    <w:basedOn w:val="Normal"/>
    <w:rPr>
      <w:sz w:val="12"/>
    </w:rPr>
  </w:style>
  <w:style w:type="character" w:styleId="FootnoteReference">
    <w:name w:val="footnote reference"/>
    <w:basedOn w:val="DefaultParagraphFont"/>
    <w:semiHidden/>
    <w:unhideWhenUsed/>
    <w:rsid w:val="00FC60D7"/>
    <w:rPr>
      <w:vertAlign w:val="superscript"/>
    </w:rPr>
  </w:style>
  <w:style w:type="paragraph" w:styleId="ListParagraph">
    <w:name w:val="List Paragraph"/>
    <w:basedOn w:val="Normal"/>
    <w:uiPriority w:val="34"/>
    <w:qFormat/>
    <w:rsid w:val="00F174D1"/>
    <w:pPr>
      <w:ind w:left="720"/>
      <w:contextualSpacing/>
    </w:pPr>
  </w:style>
  <w:style w:type="paragraph" w:styleId="NormalWeb">
    <w:name w:val="Normal (Web)"/>
    <w:basedOn w:val="Normal"/>
    <w:uiPriority w:val="99"/>
    <w:semiHidden/>
    <w:unhideWhenUsed/>
    <w:rsid w:val="00722734"/>
    <w:pPr>
      <w:widowControl/>
      <w:spacing w:before="100" w:beforeAutospacing="1" w:after="100" w:afterAutospacing="1" w:line="240" w:lineRule="auto"/>
    </w:pPr>
    <w:rPr>
      <w:sz w:val="24"/>
      <w:szCs w:val="24"/>
    </w:rPr>
  </w:style>
  <w:style w:type="paragraph" w:styleId="BalloonText">
    <w:name w:val="Balloon Text"/>
    <w:basedOn w:val="Normal"/>
    <w:link w:val="BalloonTextChar"/>
    <w:semiHidden/>
    <w:unhideWhenUsed/>
    <w:rsid w:val="00491E4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91E47"/>
    <w:rPr>
      <w:rFonts w:ascii="Segoe UI" w:hAnsi="Segoe UI" w:cs="Segoe UI"/>
      <w:sz w:val="18"/>
      <w:szCs w:val="18"/>
    </w:rPr>
  </w:style>
  <w:style w:type="character" w:customStyle="1" w:styleId="FooterChar">
    <w:name w:val="Footer Char"/>
    <w:basedOn w:val="DefaultParagraphFont"/>
    <w:link w:val="Footer"/>
    <w:uiPriority w:val="99"/>
    <w:rsid w:val="00B971D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34009">
      <w:bodyDiv w:val="1"/>
      <w:marLeft w:val="0"/>
      <w:marRight w:val="0"/>
      <w:marTop w:val="0"/>
      <w:marBottom w:val="0"/>
      <w:divBdr>
        <w:top w:val="none" w:sz="0" w:space="0" w:color="auto"/>
        <w:left w:val="none" w:sz="0" w:space="0" w:color="auto"/>
        <w:bottom w:val="none" w:sz="0" w:space="0" w:color="auto"/>
        <w:right w:val="none" w:sz="0" w:space="0" w:color="auto"/>
      </w:divBdr>
      <w:divsChild>
        <w:div w:id="641930244">
          <w:marLeft w:val="360"/>
          <w:marRight w:val="0"/>
          <w:marTop w:val="0"/>
          <w:marBottom w:val="120"/>
          <w:divBdr>
            <w:top w:val="none" w:sz="0" w:space="0" w:color="auto"/>
            <w:left w:val="none" w:sz="0" w:space="0" w:color="auto"/>
            <w:bottom w:val="none" w:sz="0" w:space="0" w:color="auto"/>
            <w:right w:val="none" w:sz="0" w:space="0" w:color="auto"/>
          </w:divBdr>
        </w:div>
        <w:div w:id="1107314480">
          <w:marLeft w:val="360"/>
          <w:marRight w:val="0"/>
          <w:marTop w:val="0"/>
          <w:marBottom w:val="120"/>
          <w:divBdr>
            <w:top w:val="none" w:sz="0" w:space="0" w:color="auto"/>
            <w:left w:val="none" w:sz="0" w:space="0" w:color="auto"/>
            <w:bottom w:val="none" w:sz="0" w:space="0" w:color="auto"/>
            <w:right w:val="none" w:sz="0" w:space="0" w:color="auto"/>
          </w:divBdr>
        </w:div>
        <w:div w:id="1980719379">
          <w:marLeft w:val="360"/>
          <w:marRight w:val="0"/>
          <w:marTop w:val="0"/>
          <w:marBottom w:val="120"/>
          <w:divBdr>
            <w:top w:val="none" w:sz="0" w:space="0" w:color="auto"/>
            <w:left w:val="none" w:sz="0" w:space="0" w:color="auto"/>
            <w:bottom w:val="none" w:sz="0" w:space="0" w:color="auto"/>
            <w:right w:val="none" w:sz="0" w:space="0" w:color="auto"/>
          </w:divBdr>
        </w:div>
        <w:div w:id="407071993">
          <w:marLeft w:val="360"/>
          <w:marRight w:val="0"/>
          <w:marTop w:val="0"/>
          <w:marBottom w:val="120"/>
          <w:divBdr>
            <w:top w:val="none" w:sz="0" w:space="0" w:color="auto"/>
            <w:left w:val="none" w:sz="0" w:space="0" w:color="auto"/>
            <w:bottom w:val="none" w:sz="0" w:space="0" w:color="auto"/>
            <w:right w:val="none" w:sz="0" w:space="0" w:color="auto"/>
          </w:divBdr>
        </w:div>
        <w:div w:id="1847556372">
          <w:marLeft w:val="360"/>
          <w:marRight w:val="0"/>
          <w:marTop w:val="0"/>
          <w:marBottom w:val="120"/>
          <w:divBdr>
            <w:top w:val="none" w:sz="0" w:space="0" w:color="auto"/>
            <w:left w:val="none" w:sz="0" w:space="0" w:color="auto"/>
            <w:bottom w:val="none" w:sz="0" w:space="0" w:color="auto"/>
            <w:right w:val="none" w:sz="0" w:space="0" w:color="auto"/>
          </w:divBdr>
        </w:div>
        <w:div w:id="147212556">
          <w:marLeft w:val="360"/>
          <w:marRight w:val="0"/>
          <w:marTop w:val="0"/>
          <w:marBottom w:val="120"/>
          <w:divBdr>
            <w:top w:val="none" w:sz="0" w:space="0" w:color="auto"/>
            <w:left w:val="none" w:sz="0" w:space="0" w:color="auto"/>
            <w:bottom w:val="none" w:sz="0" w:space="0" w:color="auto"/>
            <w:right w:val="none" w:sz="0" w:space="0" w:color="auto"/>
          </w:divBdr>
        </w:div>
        <w:div w:id="1574271527">
          <w:marLeft w:val="360"/>
          <w:marRight w:val="0"/>
          <w:marTop w:val="0"/>
          <w:marBottom w:val="120"/>
          <w:divBdr>
            <w:top w:val="none" w:sz="0" w:space="0" w:color="auto"/>
            <w:left w:val="none" w:sz="0" w:space="0" w:color="auto"/>
            <w:bottom w:val="none" w:sz="0" w:space="0" w:color="auto"/>
            <w:right w:val="none" w:sz="0" w:space="0" w:color="auto"/>
          </w:divBdr>
        </w:div>
        <w:div w:id="1078556236">
          <w:marLeft w:val="360"/>
          <w:marRight w:val="0"/>
          <w:marTop w:val="0"/>
          <w:marBottom w:val="120"/>
          <w:divBdr>
            <w:top w:val="none" w:sz="0" w:space="0" w:color="auto"/>
            <w:left w:val="none" w:sz="0" w:space="0" w:color="auto"/>
            <w:bottom w:val="none" w:sz="0" w:space="0" w:color="auto"/>
            <w:right w:val="none" w:sz="0" w:space="0" w:color="auto"/>
          </w:divBdr>
        </w:div>
        <w:div w:id="1710253684">
          <w:marLeft w:val="360"/>
          <w:marRight w:val="0"/>
          <w:marTop w:val="0"/>
          <w:marBottom w:val="120"/>
          <w:divBdr>
            <w:top w:val="none" w:sz="0" w:space="0" w:color="auto"/>
            <w:left w:val="none" w:sz="0" w:space="0" w:color="auto"/>
            <w:bottom w:val="none" w:sz="0" w:space="0" w:color="auto"/>
            <w:right w:val="none" w:sz="0" w:space="0" w:color="auto"/>
          </w:divBdr>
        </w:div>
      </w:divsChild>
    </w:div>
    <w:div w:id="282928388">
      <w:bodyDiv w:val="1"/>
      <w:marLeft w:val="0"/>
      <w:marRight w:val="0"/>
      <w:marTop w:val="0"/>
      <w:marBottom w:val="0"/>
      <w:divBdr>
        <w:top w:val="none" w:sz="0" w:space="0" w:color="auto"/>
        <w:left w:val="none" w:sz="0" w:space="0" w:color="auto"/>
        <w:bottom w:val="none" w:sz="0" w:space="0" w:color="auto"/>
        <w:right w:val="none" w:sz="0" w:space="0" w:color="auto"/>
      </w:divBdr>
      <w:divsChild>
        <w:div w:id="1082339907">
          <w:marLeft w:val="360"/>
          <w:marRight w:val="0"/>
          <w:marTop w:val="0"/>
          <w:marBottom w:val="120"/>
          <w:divBdr>
            <w:top w:val="none" w:sz="0" w:space="0" w:color="auto"/>
            <w:left w:val="none" w:sz="0" w:space="0" w:color="auto"/>
            <w:bottom w:val="none" w:sz="0" w:space="0" w:color="auto"/>
            <w:right w:val="none" w:sz="0" w:space="0" w:color="auto"/>
          </w:divBdr>
        </w:div>
        <w:div w:id="186217404">
          <w:marLeft w:val="360"/>
          <w:marRight w:val="0"/>
          <w:marTop w:val="0"/>
          <w:marBottom w:val="120"/>
          <w:divBdr>
            <w:top w:val="none" w:sz="0" w:space="0" w:color="auto"/>
            <w:left w:val="none" w:sz="0" w:space="0" w:color="auto"/>
            <w:bottom w:val="none" w:sz="0" w:space="0" w:color="auto"/>
            <w:right w:val="none" w:sz="0" w:space="0" w:color="auto"/>
          </w:divBdr>
        </w:div>
      </w:divsChild>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554851436">
      <w:bodyDiv w:val="1"/>
      <w:marLeft w:val="0"/>
      <w:marRight w:val="0"/>
      <w:marTop w:val="0"/>
      <w:marBottom w:val="0"/>
      <w:divBdr>
        <w:top w:val="none" w:sz="0" w:space="0" w:color="auto"/>
        <w:left w:val="none" w:sz="0" w:space="0" w:color="auto"/>
        <w:bottom w:val="none" w:sz="0" w:space="0" w:color="auto"/>
        <w:right w:val="none" w:sz="0" w:space="0" w:color="auto"/>
      </w:divBdr>
      <w:divsChild>
        <w:div w:id="1650935343">
          <w:marLeft w:val="360"/>
          <w:marRight w:val="0"/>
          <w:marTop w:val="0"/>
          <w:marBottom w:val="120"/>
          <w:divBdr>
            <w:top w:val="none" w:sz="0" w:space="0" w:color="auto"/>
            <w:left w:val="none" w:sz="0" w:space="0" w:color="auto"/>
            <w:bottom w:val="none" w:sz="0" w:space="0" w:color="auto"/>
            <w:right w:val="none" w:sz="0" w:space="0" w:color="auto"/>
          </w:divBdr>
        </w:div>
      </w:divsChild>
    </w:div>
    <w:div w:id="826819078">
      <w:bodyDiv w:val="1"/>
      <w:marLeft w:val="0"/>
      <w:marRight w:val="0"/>
      <w:marTop w:val="0"/>
      <w:marBottom w:val="0"/>
      <w:divBdr>
        <w:top w:val="none" w:sz="0" w:space="0" w:color="auto"/>
        <w:left w:val="none" w:sz="0" w:space="0" w:color="auto"/>
        <w:bottom w:val="none" w:sz="0" w:space="0" w:color="auto"/>
        <w:right w:val="none" w:sz="0" w:space="0" w:color="auto"/>
      </w:divBdr>
    </w:div>
    <w:div w:id="1100372355">
      <w:bodyDiv w:val="1"/>
      <w:marLeft w:val="0"/>
      <w:marRight w:val="0"/>
      <w:marTop w:val="0"/>
      <w:marBottom w:val="0"/>
      <w:divBdr>
        <w:top w:val="none" w:sz="0" w:space="0" w:color="auto"/>
        <w:left w:val="none" w:sz="0" w:space="0" w:color="auto"/>
        <w:bottom w:val="none" w:sz="0" w:space="0" w:color="auto"/>
        <w:right w:val="none" w:sz="0" w:space="0" w:color="auto"/>
      </w:divBdr>
      <w:divsChild>
        <w:div w:id="1487473221">
          <w:marLeft w:val="360"/>
          <w:marRight w:val="0"/>
          <w:marTop w:val="0"/>
          <w:marBottom w:val="120"/>
          <w:divBdr>
            <w:top w:val="none" w:sz="0" w:space="0" w:color="auto"/>
            <w:left w:val="none" w:sz="0" w:space="0" w:color="auto"/>
            <w:bottom w:val="none" w:sz="0" w:space="0" w:color="auto"/>
            <w:right w:val="none" w:sz="0" w:space="0" w:color="auto"/>
          </w:divBdr>
        </w:div>
        <w:div w:id="1918511455">
          <w:marLeft w:val="36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crosoft\Workgroup\Superior%20Court%20Pleadin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44AF6-6837-4651-B296-4849E14E5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Superior Court Pleading.dotm</Template>
  <TotalTime>0</TotalTime>
  <Pages>7</Pages>
  <Words>1392</Words>
  <Characters>7748</Characters>
  <Application>Microsoft Office Word</Application>
  <DocSecurity>8</DocSecurity>
  <Lines>172</Lines>
  <Paragraphs>51</Paragraphs>
  <ScaleCrop>false</ScaleCrop>
  <HeadingPairs>
    <vt:vector size="2" baseType="variant">
      <vt:variant>
        <vt:lpstr>Title</vt:lpstr>
      </vt:variant>
      <vt:variant>
        <vt:i4>1</vt:i4>
      </vt:variant>
    </vt:vector>
  </HeadingPairs>
  <TitlesOfParts>
    <vt:vector size="1" baseType="lpstr">
      <vt:lpstr>JENNINGS, STROUSS &amp; SALMON, P</vt:lpstr>
    </vt:vector>
  </TitlesOfParts>
  <Company>Jennings, Strouss &amp; Salmon</Company>
  <LinksUpToDate>false</LinksUpToDate>
  <CharactersWithSpaces>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STROUSS &amp; SALMON, P</dc:title>
  <dc:creator>Tan, Meeling</dc:creator>
  <cp:lastModifiedBy>Tan, Meeling</cp:lastModifiedBy>
  <cp:revision>2</cp:revision>
  <cp:lastPrinted>2022-03-24T21:54:00Z</cp:lastPrinted>
  <dcterms:created xsi:type="dcterms:W3CDTF">2022-03-24T22:27:00Z</dcterms:created>
  <dcterms:modified xsi:type="dcterms:W3CDTF">2022-03-24T22:27:00Z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   </vt:lpwstr>
  </property>
</Properties>
</file>