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60"/>
        <w:gridCol w:w="4176"/>
      </w:tblGrid>
      <w:tr w:rsidR="00357F4D" w:rsidRPr="00342221" w14:paraId="29B29713" w14:textId="77777777" w:rsidTr="00342221">
        <w:trPr>
          <w:cantSplit/>
          <w:trHeight w:val="1987"/>
        </w:trPr>
        <w:tc>
          <w:tcPr>
            <w:tcW w:w="4860" w:type="dxa"/>
          </w:tcPr>
          <w:p w14:paraId="423F20CA" w14:textId="53BE5723" w:rsidR="00E6714F" w:rsidRPr="00E6714F" w:rsidRDefault="00E6714F" w:rsidP="00E6714F">
            <w:pPr>
              <w:pStyle w:val="FirmInformation"/>
              <w:ind w:right="-227"/>
              <w:rPr>
                <w:sz w:val="24"/>
                <w:szCs w:val="24"/>
              </w:rPr>
            </w:pPr>
            <w:bookmarkStart w:id="0" w:name="_zzmpFIXED_CounselTable"/>
            <w:bookmarkStart w:id="1" w:name="_Hlk98506572"/>
            <w:bookmarkEnd w:id="1"/>
            <w:r w:rsidRPr="00E6714F">
              <w:rPr>
                <w:sz w:val="24"/>
                <w:szCs w:val="24"/>
              </w:rPr>
              <w:t>Aaron Nash, Director</w:t>
            </w:r>
            <w:r w:rsidRPr="00E6714F">
              <w:rPr>
                <w:sz w:val="24"/>
                <w:szCs w:val="24"/>
              </w:rPr>
              <w:br/>
              <w:t>Certification &amp; Licensing Division</w:t>
            </w:r>
            <w:r w:rsidRPr="00E6714F">
              <w:rPr>
                <w:sz w:val="24"/>
                <w:szCs w:val="24"/>
              </w:rPr>
              <w:br/>
              <w:t>Administrative Office of the Courts</w:t>
            </w:r>
            <w:r w:rsidRPr="00E6714F">
              <w:rPr>
                <w:sz w:val="24"/>
                <w:szCs w:val="24"/>
              </w:rPr>
              <w:br/>
              <w:t>1501 W. Washington St., Ste. 104</w:t>
            </w:r>
            <w:r w:rsidRPr="00E6714F">
              <w:rPr>
                <w:sz w:val="24"/>
                <w:szCs w:val="24"/>
              </w:rPr>
              <w:br/>
              <w:t>Phoenix, AZ 85007</w:t>
            </w:r>
            <w:r w:rsidRPr="00E6714F">
              <w:rPr>
                <w:sz w:val="24"/>
                <w:szCs w:val="24"/>
              </w:rPr>
              <w:br/>
              <w:t>(602) 452-3378</w:t>
            </w:r>
            <w:r w:rsidRPr="00E6714F">
              <w:rPr>
                <w:sz w:val="24"/>
                <w:szCs w:val="24"/>
              </w:rPr>
              <w:br/>
              <w:t>anash@courts.az.gov</w:t>
            </w:r>
          </w:p>
          <w:p w14:paraId="0AEAE864" w14:textId="77777777" w:rsidR="00F511F8" w:rsidRPr="00342221" w:rsidRDefault="00F511F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6" w:type="dxa"/>
          </w:tcPr>
          <w:p w14:paraId="70E203A4" w14:textId="77777777" w:rsidR="00357F4D" w:rsidRPr="00342221" w:rsidRDefault="00357F4D" w:rsidP="00000C35">
            <w:pPr>
              <w:ind w:left="113" w:right="113"/>
              <w:rPr>
                <w:sz w:val="24"/>
                <w:szCs w:val="24"/>
              </w:rPr>
            </w:pPr>
          </w:p>
        </w:tc>
      </w:tr>
    </w:tbl>
    <w:bookmarkEnd w:id="0"/>
    <w:p w14:paraId="435A8E57" w14:textId="77777777" w:rsidR="000C48A9" w:rsidRPr="00342221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342221">
        <w:rPr>
          <w:b/>
          <w:sz w:val="28"/>
          <w:szCs w:val="28"/>
        </w:rPr>
        <w:t>IN THE SUPREME COURT</w:t>
      </w:r>
      <w:r w:rsidRPr="00342221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342221" w14:paraId="6B80345B" w14:textId="7777777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342221" w:rsidRDefault="00576C4C" w:rsidP="00576C4C">
            <w:pPr>
              <w:spacing w:line="240" w:lineRule="auto"/>
              <w:rPr>
                <w:sz w:val="24"/>
                <w:szCs w:val="24"/>
              </w:rPr>
            </w:pPr>
            <w:bookmarkStart w:id="2" w:name="_zzmpFIXED_CaptionTable"/>
          </w:p>
          <w:p w14:paraId="7B886C2D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In the Matter of:</w:t>
            </w:r>
          </w:p>
          <w:p w14:paraId="3BAAF1EF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281033C5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109ECD28" w14:textId="7941667C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PETITION TO AMEND RULE</w:t>
            </w:r>
            <w:r w:rsidR="00E6714F">
              <w:rPr>
                <w:sz w:val="24"/>
                <w:szCs w:val="24"/>
              </w:rPr>
              <w:t xml:space="preserve"> 45, AR</w:t>
            </w:r>
            <w:r w:rsidRPr="00342221">
              <w:rPr>
                <w:sz w:val="24"/>
                <w:szCs w:val="24"/>
              </w:rPr>
              <w:t>IZ</w:t>
            </w:r>
            <w:r w:rsidR="00E6714F">
              <w:rPr>
                <w:sz w:val="24"/>
                <w:szCs w:val="24"/>
              </w:rPr>
              <w:t>ONA RULES OF PROBATE PROCEDURE</w:t>
            </w:r>
          </w:p>
          <w:p w14:paraId="37314109" w14:textId="77777777" w:rsidR="00785481" w:rsidRPr="00342221" w:rsidRDefault="00785481" w:rsidP="0078548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342221" w:rsidRDefault="00785481" w:rsidP="00576C4C">
            <w:pPr>
              <w:pStyle w:val="Caption"/>
              <w:spacing w:line="240" w:lineRule="auto"/>
              <w:ind w:left="-105" w:right="33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3D8B674D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2806BE54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25C06FB0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62897E3D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4FBCD90E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1ADFC155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1508AC27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8C11895" w14:textId="77777777" w:rsidR="00785481" w:rsidRPr="00342221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ab/>
            </w:r>
          </w:p>
          <w:p w14:paraId="72D8B962" w14:textId="3F9ED8FC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  <w:r w:rsidRPr="00342221">
              <w:rPr>
                <w:sz w:val="24"/>
                <w:szCs w:val="18"/>
              </w:rPr>
              <w:t>Supreme Court No. R-</w:t>
            </w:r>
            <w:r w:rsidR="005E5A5B" w:rsidRPr="00342221">
              <w:rPr>
                <w:sz w:val="24"/>
                <w:szCs w:val="18"/>
              </w:rPr>
              <w:t>2</w:t>
            </w:r>
            <w:r w:rsidR="00E6714F">
              <w:rPr>
                <w:sz w:val="24"/>
                <w:szCs w:val="18"/>
              </w:rPr>
              <w:t>2</w:t>
            </w:r>
            <w:r w:rsidR="005E5A5B" w:rsidRPr="00342221">
              <w:rPr>
                <w:sz w:val="24"/>
                <w:szCs w:val="18"/>
              </w:rPr>
              <w:t>-000</w:t>
            </w:r>
            <w:r w:rsidR="00E6714F">
              <w:rPr>
                <w:sz w:val="24"/>
                <w:szCs w:val="18"/>
              </w:rPr>
              <w:t>8</w:t>
            </w:r>
          </w:p>
          <w:p w14:paraId="7F4CD9B6" w14:textId="77777777" w:rsidR="00576C4C" w:rsidRPr="00342221" w:rsidRDefault="00576C4C" w:rsidP="00576C4C">
            <w:pPr>
              <w:spacing w:line="240" w:lineRule="auto"/>
              <w:rPr>
                <w:sz w:val="24"/>
                <w:szCs w:val="18"/>
              </w:rPr>
            </w:pPr>
          </w:p>
          <w:p w14:paraId="424917B9" w14:textId="437C982F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  <w:r w:rsidRPr="00342221">
              <w:rPr>
                <w:sz w:val="24"/>
                <w:szCs w:val="18"/>
              </w:rPr>
              <w:t xml:space="preserve">Comment of the </w:t>
            </w:r>
            <w:r w:rsidR="00E6714F">
              <w:rPr>
                <w:sz w:val="24"/>
                <w:szCs w:val="18"/>
              </w:rPr>
              <w:t xml:space="preserve">Certification &amp; Licensing Division </w:t>
            </w:r>
            <w:r w:rsidR="00576C4C" w:rsidRPr="00342221">
              <w:rPr>
                <w:sz w:val="24"/>
                <w:szCs w:val="18"/>
              </w:rPr>
              <w:t>in Support of Proposed Rule Change</w:t>
            </w:r>
          </w:p>
          <w:p w14:paraId="091FF0BF" w14:textId="77777777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</w:p>
          <w:p w14:paraId="29638F61" w14:textId="77777777" w:rsidR="00785481" w:rsidRPr="00342221" w:rsidRDefault="00785481" w:rsidP="00785481">
            <w:pPr>
              <w:pStyle w:val="Caption"/>
              <w:ind w:left="1512" w:right="115" w:hanging="1253"/>
              <w:rPr>
                <w:sz w:val="24"/>
                <w:szCs w:val="24"/>
              </w:rPr>
            </w:pPr>
          </w:p>
        </w:tc>
      </w:tr>
    </w:tbl>
    <w:bookmarkEnd w:id="2"/>
    <w:p w14:paraId="4C1C6C08" w14:textId="77777777" w:rsidR="00E6714F" w:rsidRPr="00E6714F" w:rsidRDefault="00710B2E" w:rsidP="00E6714F">
      <w:pPr>
        <w:spacing w:before="240" w:line="480" w:lineRule="auto"/>
        <w:ind w:firstLine="720"/>
        <w:jc w:val="both"/>
        <w:rPr>
          <w:sz w:val="24"/>
          <w:szCs w:val="24"/>
        </w:rPr>
      </w:pPr>
      <w:r w:rsidRPr="00342221">
        <w:rPr>
          <w:sz w:val="24"/>
          <w:szCs w:val="24"/>
        </w:rPr>
        <w:t xml:space="preserve">Pursuant to Rule 28, Rules of the Arizona Supreme Court, the </w:t>
      </w:r>
      <w:r w:rsidR="00E6714F">
        <w:rPr>
          <w:sz w:val="24"/>
          <w:szCs w:val="24"/>
        </w:rPr>
        <w:t xml:space="preserve">Certification &amp; Licensing Division </w:t>
      </w:r>
      <w:r w:rsidRPr="00342221">
        <w:rPr>
          <w:sz w:val="24"/>
          <w:szCs w:val="24"/>
        </w:rPr>
        <w:t>(</w:t>
      </w:r>
      <w:r w:rsidR="00E6714F">
        <w:rPr>
          <w:sz w:val="24"/>
          <w:szCs w:val="24"/>
        </w:rPr>
        <w:t>the Division</w:t>
      </w:r>
      <w:r w:rsidRPr="00342221">
        <w:rPr>
          <w:sz w:val="24"/>
          <w:szCs w:val="24"/>
        </w:rPr>
        <w:t>) respectfully submits this comment in support of the above-referenced proposed rule amendments</w:t>
      </w:r>
      <w:r w:rsidR="00E6714F">
        <w:rPr>
          <w:sz w:val="24"/>
          <w:szCs w:val="24"/>
        </w:rPr>
        <w:t xml:space="preserve"> </w:t>
      </w:r>
      <w:r w:rsidR="00E6714F" w:rsidRPr="00E6714F">
        <w:rPr>
          <w:sz w:val="24"/>
          <w:szCs w:val="24"/>
        </w:rPr>
        <w:t xml:space="preserve">that would amend Rules 45(c) and (e) of the Arizona Rules of Probate Procedure to require a conservator to provide statements, appraisals, or other documentation to support his or her initial inventory and to attach to the annual account any HUD-1 or similar settlement statement for any real property that was sold during the account period. </w:t>
      </w:r>
    </w:p>
    <w:p w14:paraId="79695541" w14:textId="22E09E21" w:rsidR="00E6714F" w:rsidRPr="00E6714F" w:rsidRDefault="00E6714F" w:rsidP="00E6714F">
      <w:pPr>
        <w:spacing w:before="240" w:line="480" w:lineRule="auto"/>
        <w:ind w:firstLine="720"/>
        <w:jc w:val="both"/>
        <w:rPr>
          <w:sz w:val="24"/>
          <w:szCs w:val="24"/>
        </w:rPr>
      </w:pPr>
      <w:r w:rsidRPr="00E6714F">
        <w:rPr>
          <w:sz w:val="24"/>
          <w:szCs w:val="24"/>
        </w:rPr>
        <w:t>The proposed modifications serve to protect the public by</w:t>
      </w:r>
      <w:r w:rsidR="00BA4FE7">
        <w:rPr>
          <w:sz w:val="24"/>
          <w:szCs w:val="24"/>
        </w:rPr>
        <w:t xml:space="preserve"> requiring the conservator to provide</w:t>
      </w:r>
      <w:r w:rsidRPr="00E6714F">
        <w:rPr>
          <w:sz w:val="24"/>
          <w:szCs w:val="24"/>
        </w:rPr>
        <w:t xml:space="preserve"> specific financial information before the court earlier in the conservator process, thus ensuring</w:t>
      </w:r>
      <w:r w:rsidR="00BA4FE7">
        <w:rPr>
          <w:sz w:val="24"/>
          <w:szCs w:val="24"/>
        </w:rPr>
        <w:t xml:space="preserve"> more transparency in the process </w:t>
      </w:r>
      <w:r w:rsidRPr="00E6714F">
        <w:rPr>
          <w:sz w:val="24"/>
          <w:szCs w:val="24"/>
        </w:rPr>
        <w:t xml:space="preserve">and improving the courts’ ability to identify situations that could </w:t>
      </w:r>
      <w:r w:rsidR="00BA4FE7">
        <w:rPr>
          <w:sz w:val="24"/>
          <w:szCs w:val="24"/>
        </w:rPr>
        <w:t xml:space="preserve">be adverse </w:t>
      </w:r>
      <w:r w:rsidRPr="00E6714F">
        <w:rPr>
          <w:sz w:val="24"/>
          <w:szCs w:val="24"/>
        </w:rPr>
        <w:t xml:space="preserve">to a protected person’s </w:t>
      </w:r>
      <w:r w:rsidR="00BA4FE7">
        <w:rPr>
          <w:sz w:val="24"/>
          <w:szCs w:val="24"/>
        </w:rPr>
        <w:t>interests</w:t>
      </w:r>
      <w:r w:rsidRPr="00E6714F">
        <w:rPr>
          <w:sz w:val="24"/>
          <w:szCs w:val="24"/>
        </w:rPr>
        <w:t>. The proposal would work in conjunction with the protections proposed in the Division’s petition, R-22-0019, that would add a subsection</w:t>
      </w:r>
      <w:r w:rsidR="00BA4FE7">
        <w:rPr>
          <w:sz w:val="24"/>
          <w:szCs w:val="24"/>
        </w:rPr>
        <w:t xml:space="preserve">, creating a new </w:t>
      </w:r>
      <w:r w:rsidRPr="00E6714F">
        <w:rPr>
          <w:sz w:val="24"/>
          <w:szCs w:val="24"/>
        </w:rPr>
        <w:t>Rule 45</w:t>
      </w:r>
      <w:r w:rsidR="00BA4FE7">
        <w:rPr>
          <w:sz w:val="24"/>
          <w:szCs w:val="24"/>
        </w:rPr>
        <w:t>(c)(4).</w:t>
      </w:r>
    </w:p>
    <w:p w14:paraId="30658923" w14:textId="7662A2DA" w:rsidR="00710B2E" w:rsidRPr="00342221" w:rsidRDefault="00E6714F" w:rsidP="00E6714F">
      <w:pPr>
        <w:spacing w:before="240" w:line="480" w:lineRule="auto"/>
        <w:ind w:firstLine="720"/>
        <w:jc w:val="both"/>
        <w:rPr>
          <w:b/>
          <w:sz w:val="24"/>
          <w:szCs w:val="24"/>
        </w:rPr>
      </w:pPr>
      <w:r w:rsidRPr="00E6714F">
        <w:rPr>
          <w:sz w:val="24"/>
          <w:szCs w:val="24"/>
        </w:rPr>
        <w:lastRenderedPageBreak/>
        <w:t>The Division respectfully requests the Supreme Court adopt the amendments to Rule 45, Arizona Rules of Probate Procedure as proposed.</w:t>
      </w:r>
    </w:p>
    <w:p w14:paraId="49458EBF" w14:textId="256A1311" w:rsidR="000C48A9" w:rsidRPr="00342221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 w:rsidRPr="00342221">
        <w:rPr>
          <w:color w:val="000000" w:themeColor="text1"/>
          <w:sz w:val="24"/>
          <w:szCs w:val="24"/>
        </w:rPr>
        <w:t xml:space="preserve"> </w:t>
      </w:r>
      <w:r w:rsidR="00440489" w:rsidRPr="00342221">
        <w:rPr>
          <w:sz w:val="24"/>
          <w:szCs w:val="24"/>
        </w:rPr>
        <w:tab/>
      </w:r>
      <w:r w:rsidR="000C48A9" w:rsidRPr="00342221">
        <w:rPr>
          <w:sz w:val="24"/>
          <w:szCs w:val="24"/>
        </w:rPr>
        <w:t xml:space="preserve">RESPECTFULLY SUBMITTED this </w:t>
      </w:r>
      <w:r w:rsidR="00A24BE8" w:rsidRPr="00342221">
        <w:rPr>
          <w:b/>
          <w:sz w:val="24"/>
          <w:szCs w:val="24"/>
        </w:rPr>
        <w:t>_</w:t>
      </w:r>
      <w:r w:rsidR="00BA4FE7" w:rsidRPr="00BA4FE7">
        <w:rPr>
          <w:bCs/>
          <w:sz w:val="24"/>
          <w:szCs w:val="24"/>
        </w:rPr>
        <w:t>18th</w:t>
      </w:r>
      <w:r w:rsidR="002B0CE6" w:rsidRPr="00342221">
        <w:rPr>
          <w:b/>
          <w:sz w:val="24"/>
          <w:szCs w:val="24"/>
        </w:rPr>
        <w:softHyphen/>
      </w:r>
      <w:r w:rsidR="002B0CE6" w:rsidRPr="00342221">
        <w:rPr>
          <w:b/>
          <w:sz w:val="24"/>
          <w:szCs w:val="24"/>
        </w:rPr>
        <w:softHyphen/>
        <w:t>__</w:t>
      </w:r>
      <w:r w:rsidR="00A24BE8" w:rsidRPr="00342221">
        <w:rPr>
          <w:b/>
          <w:sz w:val="24"/>
          <w:szCs w:val="24"/>
        </w:rPr>
        <w:t>_</w:t>
      </w:r>
      <w:r w:rsidR="006820CB" w:rsidRPr="00342221">
        <w:rPr>
          <w:b/>
          <w:sz w:val="24"/>
          <w:szCs w:val="24"/>
        </w:rPr>
        <w:t xml:space="preserve"> </w:t>
      </w:r>
      <w:r w:rsidR="000C48A9" w:rsidRPr="00342221">
        <w:rPr>
          <w:sz w:val="24"/>
          <w:szCs w:val="24"/>
        </w:rPr>
        <w:t>day of</w:t>
      </w:r>
      <w:r w:rsidR="00B7182E" w:rsidRPr="00342221">
        <w:rPr>
          <w:sz w:val="24"/>
          <w:szCs w:val="24"/>
        </w:rPr>
        <w:t xml:space="preserve"> </w:t>
      </w:r>
      <w:r w:rsidR="00E6714F">
        <w:rPr>
          <w:sz w:val="24"/>
          <w:szCs w:val="24"/>
        </w:rPr>
        <w:t>March</w:t>
      </w:r>
      <w:r w:rsidR="00F511F8" w:rsidRPr="00342221">
        <w:rPr>
          <w:sz w:val="24"/>
          <w:szCs w:val="24"/>
        </w:rPr>
        <w:t>,</w:t>
      </w:r>
      <w:r w:rsidR="00710B2E" w:rsidRPr="00342221">
        <w:rPr>
          <w:sz w:val="24"/>
          <w:szCs w:val="24"/>
        </w:rPr>
        <w:t xml:space="preserve"> 20</w:t>
      </w:r>
      <w:r w:rsidR="005E5A5B" w:rsidRPr="00342221">
        <w:rPr>
          <w:sz w:val="24"/>
          <w:szCs w:val="24"/>
        </w:rPr>
        <w:t>2</w:t>
      </w:r>
      <w:r w:rsidR="00E6714F">
        <w:rPr>
          <w:sz w:val="24"/>
          <w:szCs w:val="24"/>
        </w:rPr>
        <w:t>2</w:t>
      </w:r>
      <w:r w:rsidR="000C48A9" w:rsidRPr="00342221">
        <w:rPr>
          <w:sz w:val="24"/>
          <w:szCs w:val="24"/>
        </w:rPr>
        <w:t>.</w:t>
      </w:r>
    </w:p>
    <w:p w14:paraId="0C820CFB" w14:textId="77777777" w:rsidR="000C48A9" w:rsidRPr="00342221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</w:p>
    <w:p w14:paraId="7438B99E" w14:textId="14618361" w:rsidR="00A24BE8" w:rsidRPr="00342221" w:rsidRDefault="00BA4FE7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A3402E" wp14:editId="7C70005E">
            <wp:simplePos x="0" y="0"/>
            <wp:positionH relativeFrom="column">
              <wp:posOffset>2771775</wp:posOffset>
            </wp:positionH>
            <wp:positionV relativeFrom="paragraph">
              <wp:posOffset>244475</wp:posOffset>
            </wp:positionV>
            <wp:extent cx="1417320" cy="676275"/>
            <wp:effectExtent l="0" t="0" r="0" b="9525"/>
            <wp:wrapSquare wrapText="bothSides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ap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5EAB2" w14:textId="6B00AFB4" w:rsidR="00A24BE8" w:rsidRPr="00342221" w:rsidRDefault="00A24BE8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342221">
        <w:rPr>
          <w:sz w:val="24"/>
          <w:szCs w:val="24"/>
        </w:rPr>
        <w:t>__________________</w:t>
      </w:r>
      <w:r w:rsidR="00BA4FE7">
        <w:rPr>
          <w:sz w:val="24"/>
          <w:szCs w:val="24"/>
        </w:rPr>
        <w:t>________</w:t>
      </w:r>
      <w:r w:rsidR="00342221">
        <w:rPr>
          <w:sz w:val="24"/>
          <w:szCs w:val="24"/>
        </w:rPr>
        <w:t>__</w:t>
      </w:r>
    </w:p>
    <w:p w14:paraId="127971BA" w14:textId="68574A5E" w:rsidR="00A24BE8" w:rsidRPr="00342221" w:rsidRDefault="00E6714F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>
        <w:rPr>
          <w:sz w:val="24"/>
          <w:szCs w:val="24"/>
        </w:rPr>
        <w:t>Aaron Nash</w:t>
      </w:r>
      <w:r w:rsidR="00A24BE8" w:rsidRPr="00342221">
        <w:rPr>
          <w:sz w:val="24"/>
          <w:szCs w:val="24"/>
        </w:rPr>
        <w:t xml:space="preserve">, </w:t>
      </w:r>
      <w:r>
        <w:rPr>
          <w:sz w:val="24"/>
          <w:szCs w:val="24"/>
        </w:rPr>
        <w:t>Director</w:t>
      </w:r>
    </w:p>
    <w:p w14:paraId="580CB5D9" w14:textId="7645893C" w:rsidR="00A24BE8" w:rsidRPr="00342221" w:rsidRDefault="00E6714F" w:rsidP="00A24BE8">
      <w:pPr>
        <w:pStyle w:val="FirmInformation"/>
        <w:spacing w:line="240" w:lineRule="auto"/>
        <w:ind w:left="4320"/>
        <w:rPr>
          <w:sz w:val="24"/>
          <w:szCs w:val="24"/>
        </w:rPr>
      </w:pPr>
      <w:r>
        <w:rPr>
          <w:sz w:val="24"/>
          <w:szCs w:val="24"/>
        </w:rPr>
        <w:t>Certification &amp; Licensing Division</w:t>
      </w:r>
    </w:p>
    <w:sectPr w:rsidR="00A24BE8" w:rsidRPr="00342221" w:rsidSect="00576C4C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ABE75" w14:textId="77777777" w:rsidR="00895BC1" w:rsidRDefault="00895BC1">
      <w:r>
        <w:separator/>
      </w:r>
    </w:p>
  </w:endnote>
  <w:endnote w:type="continuationSeparator" w:id="0">
    <w:p w14:paraId="1047378A" w14:textId="77777777" w:rsidR="00895BC1" w:rsidRDefault="0089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612C" w14:textId="77777777" w:rsidR="00895BC1" w:rsidRDefault="00895BC1">
      <w:r>
        <w:separator/>
      </w:r>
    </w:p>
  </w:footnote>
  <w:footnote w:type="continuationSeparator" w:id="0">
    <w:p w14:paraId="3D7CCEAD" w14:textId="77777777" w:rsidR="00895BC1" w:rsidRDefault="0089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B17DA"/>
    <w:rsid w:val="000C48A9"/>
    <w:rsid w:val="000D44CD"/>
    <w:rsid w:val="000F7A7F"/>
    <w:rsid w:val="000F7C13"/>
    <w:rsid w:val="0010288B"/>
    <w:rsid w:val="001033D4"/>
    <w:rsid w:val="00135326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86E10"/>
    <w:rsid w:val="002B0CE6"/>
    <w:rsid w:val="002B3940"/>
    <w:rsid w:val="00321387"/>
    <w:rsid w:val="00342221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E5A5B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31F55"/>
    <w:rsid w:val="008360A1"/>
    <w:rsid w:val="00861563"/>
    <w:rsid w:val="00871AAA"/>
    <w:rsid w:val="00876F57"/>
    <w:rsid w:val="00891AAA"/>
    <w:rsid w:val="00895BC1"/>
    <w:rsid w:val="008C167C"/>
    <w:rsid w:val="008C6C60"/>
    <w:rsid w:val="00915625"/>
    <w:rsid w:val="0092401D"/>
    <w:rsid w:val="00933EA1"/>
    <w:rsid w:val="00940960"/>
    <w:rsid w:val="00951416"/>
    <w:rsid w:val="00960D21"/>
    <w:rsid w:val="00977277"/>
    <w:rsid w:val="00981D29"/>
    <w:rsid w:val="00981E11"/>
    <w:rsid w:val="009C6843"/>
    <w:rsid w:val="00A1564B"/>
    <w:rsid w:val="00A24BE8"/>
    <w:rsid w:val="00A27DB8"/>
    <w:rsid w:val="00A5194F"/>
    <w:rsid w:val="00A56E1E"/>
    <w:rsid w:val="00A8678A"/>
    <w:rsid w:val="00A871D6"/>
    <w:rsid w:val="00A915B8"/>
    <w:rsid w:val="00A93A7C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A4FE7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D21FB"/>
    <w:rsid w:val="00CD402A"/>
    <w:rsid w:val="00CE39A2"/>
    <w:rsid w:val="00D14CF1"/>
    <w:rsid w:val="00D423FE"/>
    <w:rsid w:val="00D43496"/>
    <w:rsid w:val="00D441A1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14F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6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rder xmlns="93b1636a-2fb9-4568-9c47-85ef215006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2" ma:contentTypeDescription="Create a new document." ma:contentTypeScope="" ma:versionID="687882f95d6a517d47e06bf72f59d6e6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a09aab39100210938edf2b63b9a7aa6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ocumentOrde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ocumentOrder" ma:index="18" nillable="true" ma:displayName="Document Order" ma:format="Dropdown" ma:internalName="DocumentOrder" ma:percentage="FALSE">
      <xsd:simpleType>
        <xsd:restriction base="dms:Number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C4AF0-68EC-4613-841D-934491E99DEA}">
  <ds:schemaRefs>
    <ds:schemaRef ds:uri="http://purl.org/dc/elements/1.1/"/>
    <ds:schemaRef ds:uri="http://schemas.microsoft.com/office/2006/metadata/properties"/>
    <ds:schemaRef ds:uri="5e58766e-a9a6-44cc-accb-798c26d5f1f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3b1636a-2fb9-4568-9c47-85ef215006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FED70-A91F-402D-A264-4CA1B8A5E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9A51F-6B1A-4626-990E-A71AFDA00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Nash, Aaron</cp:lastModifiedBy>
  <cp:revision>4</cp:revision>
  <cp:lastPrinted>2019-04-04T22:01:00Z</cp:lastPrinted>
  <dcterms:created xsi:type="dcterms:W3CDTF">2022-03-18T19:30:00Z</dcterms:created>
  <dcterms:modified xsi:type="dcterms:W3CDTF">2022-03-18T21:38:00Z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