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B51B" w14:textId="73548D6B" w:rsidR="007C2DCF" w:rsidRPr="007C2DCF" w:rsidRDefault="007C2DCF" w:rsidP="007F0679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u w:val="single"/>
        </w:rPr>
      </w:pPr>
      <w:bookmarkStart w:id="0" w:name="_GoBack"/>
      <w:r w:rsidRPr="007C2DC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u w:val="single"/>
        </w:rPr>
        <w:t>Appendix B.2</w:t>
      </w:r>
    </w:p>
    <w:bookmarkEnd w:id="0"/>
    <w:p w14:paraId="01210C7C" w14:textId="44DA004F" w:rsidR="007F0679" w:rsidRPr="007C2DCF" w:rsidRDefault="007F0679" w:rsidP="007F0679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52525"/>
          <w:sz w:val="28"/>
          <w:szCs w:val="28"/>
        </w:rPr>
        <w:t>Rule 32. Using Depositions in Court Proceedings</w:t>
      </w:r>
    </w:p>
    <w:p w14:paraId="59639EAD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(a) Using Depositions.</w:t>
      </w:r>
    </w:p>
    <w:p w14:paraId="22ACEA82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DCB3839" w14:textId="39A5A4B8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(1)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In the Same or Similar Action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At a hearing or trial, all or part of a deposition taken in the action--or in another federal or state court action involving the same subject matter between the same parties, or their representatives or predecessors in interest--may be used against a party if:</w:t>
      </w:r>
    </w:p>
    <w:p w14:paraId="3551D9A4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838D9B1" w14:textId="5EAD3186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(A) the deposition testimony would be admissible under the Arizona Rules of Evidence if the deponent were present and testifying;</w:t>
      </w:r>
    </w:p>
    <w:p w14:paraId="363F4159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1804463A" w14:textId="20173B00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(B) the party or its predecessor in interest was present or represented at the deposition or had reasonable notice of it; and</w:t>
      </w:r>
    </w:p>
    <w:p w14:paraId="1E331B9E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7706DA43" w14:textId="33BABEB6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(C) the party, its representative, or its predecessor in interest had an opportunity and similar motive to develop the testimony by examination at the deposition.</w:t>
      </w:r>
    </w:p>
    <w:p w14:paraId="77D92653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CF02936" w14:textId="29B74B86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(2)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In a Different Action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At a hearing or trial, all or part of a deposition taken in another federal or state court action may be used as allowed by the Arizona Rules of Evidence.</w:t>
      </w:r>
    </w:p>
    <w:p w14:paraId="7AC7C5F1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0469D39D" w14:textId="60A0256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(3)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Deponent's Availability at Trial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Subject to Rule 32(a)(1) and (2), all or part of a deposition may be used at trial regardless of the deponent's availability to testify at trial. Use of a deposition at trial does not limit, in any way, any party's right to call the deponent to testify in person.</w:t>
      </w:r>
    </w:p>
    <w:p w14:paraId="254F0BCA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6AE7DD16" w14:textId="5D01B379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(4)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Using Part of a Deposition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If a party offers in evidence only part of a deposition, the court may require that party to introduce contemporaneously other parts that in fairness should be considered with the part offered.</w:t>
      </w:r>
    </w:p>
    <w:p w14:paraId="3923FDED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C1997E4" w14:textId="64840E43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(5)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Substituted Party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Substituting a party under Rule 25 does not affect the right to use a previously taken deposition.</w:t>
      </w:r>
    </w:p>
    <w:p w14:paraId="5ADA9F86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14:paraId="5CE4EC41" w14:textId="34D141EB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(b) Objections to Admissibility.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 Subject to Rules 28(b) and (c), and 32(d)(3), an objection may be made at a hearing or trial to the admission of any deposition testimony that would be inadmissible if the witness were present and testifying.</w:t>
      </w:r>
    </w:p>
    <w:p w14:paraId="388620B4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14:paraId="55485F11" w14:textId="1026B8A4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lastRenderedPageBreak/>
        <w:t>(c) Form of Presentation.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Unless the court orders otherwise, a party must provide a transcript of any deposition testimony the party offers, but also may provide the court with the testimony in </w:t>
      </w:r>
      <w:proofErr w:type="spellStart"/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nontranscript</w:t>
      </w:r>
      <w:proofErr w:type="spellEnd"/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form. On any party's request, deposition testimony offered in a jury trial for any purpose other than impeachment must be presented in </w:t>
      </w:r>
      <w:proofErr w:type="spellStart"/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nontranscript</w:t>
      </w:r>
      <w:proofErr w:type="spellEnd"/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form, if available, unless the court orders otherwise for good cause. If the testimony is unavailable in audio or audiovisual form, the court may require a single presenter to read the designated parts of the deposition testimony to the jury.</w:t>
      </w:r>
    </w:p>
    <w:p w14:paraId="278F5E76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14:paraId="5473E6C4" w14:textId="0CA16AEB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(d) Preservation and Waiver of Objections.</w:t>
      </w:r>
    </w:p>
    <w:p w14:paraId="06E4CD40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7D68D400" w14:textId="4227AB56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(1)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To the Notice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A party objecting to an error or irregularity in a deposition notice must promptly serve the objection in writing on the party giving the notice.</w:t>
      </w:r>
    </w:p>
    <w:p w14:paraId="0835F404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99A0C4C" w14:textId="12A2BCE9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(2)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To the Officer's Qualification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A party objecting to the qualification of the officer before whom a deposition is to be taken must make such objection:</w:t>
      </w:r>
    </w:p>
    <w:p w14:paraId="3A71DBC8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65D682AB" w14:textId="18DEE7DE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(A) before the deposition begins; or</w:t>
      </w:r>
    </w:p>
    <w:p w14:paraId="2BD9F7B7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715FC9C3" w14:textId="08828BDD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(B) promptly after the basis for disqualification becomes known or, with reasonable diligence, could have been known.</w:t>
      </w:r>
    </w:p>
    <w:p w14:paraId="133C59C1" w14:textId="77777777" w:rsidR="000616F6" w:rsidRPr="007C2DCF" w:rsidRDefault="000616F6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A4E75FC" w14:textId="165D735D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(3) 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 xml:space="preserve">To the Method of Recording Deposition. 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The failure to designate an alternate method of recording pursuant to Rule 30</w:t>
      </w:r>
      <w:r w:rsidR="009306C1"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(b)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(3) does not waive any party’s right to object to the admissibility </w:t>
      </w:r>
      <w:r w:rsidR="009306C1"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or use 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of any recording made </w:t>
      </w:r>
      <w:r w:rsidR="009306C1"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 xml:space="preserve"> any designated method.</w:t>
      </w:r>
    </w:p>
    <w:p w14:paraId="1F5A270B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02CC3069" w14:textId="7EE0BAE9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(4)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To the Taking of the Deposition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2948C05D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6E69D547" w14:textId="56D0F4B6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(A) To Competence, Relevance, or Materiality. A party objecting to a deponent's competence--or to the competence, relevance, or materiality of testimony--must make the objection before or during the deposition if the ground for the objection could have been corrected at that time.</w:t>
      </w:r>
    </w:p>
    <w:p w14:paraId="48396E7C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6D27FA48" w14:textId="670865E2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(B) To an Error or Irregularity at an Oral Deposition. A party objecting to the manner of taking the deposition, the form of a question or answer, the oath or affirmation, a party's conduct, or other matters that could be corrected at that time must timely make the objection during the deposition.</w:t>
      </w:r>
    </w:p>
    <w:p w14:paraId="4E8B7B01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1B985E2" w14:textId="5E506DA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(C) To a Written Question. A party objecting to the form of a written question under Rule 31 must serve the objection under Rule 31(b)(3).</w:t>
      </w:r>
    </w:p>
    <w:p w14:paraId="498A33C2" w14:textId="77777777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551EDF8" w14:textId="0E6F75A8" w:rsidR="007F0679" w:rsidRPr="007C2DCF" w:rsidRDefault="007F0679" w:rsidP="007F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(5) </w:t>
      </w:r>
      <w:r w:rsidRPr="007C2DC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To the Officer's Completion and Return of Deposition</w:t>
      </w:r>
      <w:r w:rsidRPr="007C2DCF">
        <w:rPr>
          <w:rFonts w:ascii="Times New Roman" w:eastAsia="Times New Roman" w:hAnsi="Times New Roman" w:cs="Times New Roman"/>
          <w:color w:val="212121"/>
          <w:sz w:val="28"/>
          <w:szCs w:val="28"/>
        </w:rPr>
        <w:t>. A party objecting to how the officer (A) transcribed the testimony, or (B) prepared, signed, certified, sealed, endorsed, delivered, or otherwise dealt with the deposition, must file a motion to suppress promptly after the error or irregularity becomes known or, with reasonable diligence, could have been known.</w:t>
      </w:r>
    </w:p>
    <w:p w14:paraId="7DB4EF80" w14:textId="77777777" w:rsidR="0018114D" w:rsidRPr="007C2DCF" w:rsidRDefault="0018114D">
      <w:pPr>
        <w:rPr>
          <w:rFonts w:ascii="Times New Roman" w:hAnsi="Times New Roman" w:cs="Times New Roman"/>
          <w:sz w:val="28"/>
          <w:szCs w:val="28"/>
        </w:rPr>
      </w:pPr>
    </w:p>
    <w:sectPr w:rsidR="0018114D" w:rsidRPr="007C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79"/>
    <w:rsid w:val="0000030B"/>
    <w:rsid w:val="000616F6"/>
    <w:rsid w:val="0018114D"/>
    <w:rsid w:val="006C3E3B"/>
    <w:rsid w:val="007C2DCF"/>
    <w:rsid w:val="007F0679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E6D8"/>
  <w15:chartTrackingRefBased/>
  <w15:docId w15:val="{6E2059E9-6464-43F7-B408-7456EC5E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06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06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067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3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6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3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41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0072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6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1297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1517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1582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1400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74678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9188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835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0752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971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6477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8182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5244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00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8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6459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1673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70584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1611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24617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0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0637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Mahady</dc:creator>
  <cp:keywords/>
  <dc:description/>
  <cp:lastModifiedBy>Patricia Seguin</cp:lastModifiedBy>
  <cp:revision>4</cp:revision>
  <dcterms:created xsi:type="dcterms:W3CDTF">2021-08-29T17:47:00Z</dcterms:created>
  <dcterms:modified xsi:type="dcterms:W3CDTF">2022-01-06T18:30:00Z</dcterms:modified>
</cp:coreProperties>
</file>