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5679E" w14:textId="77777777" w:rsidR="00902BAE" w:rsidRPr="0059414B" w:rsidRDefault="00902BAE" w:rsidP="00902BAE">
      <w:pPr>
        <w:pStyle w:val="Default"/>
        <w:jc w:val="center"/>
        <w:rPr>
          <w:rFonts w:ascii="Times New Roman" w:hAnsi="Times New Roman" w:cs="Times New Roman"/>
          <w:b/>
        </w:rPr>
      </w:pPr>
      <w:r w:rsidRPr="0059414B">
        <w:rPr>
          <w:rFonts w:ascii="Times New Roman" w:hAnsi="Times New Roman" w:cs="Times New Roman"/>
          <w:b/>
        </w:rPr>
        <w:t>APPENDIX A. TEXT OF PROPOSED RULE CHANGES</w:t>
      </w:r>
    </w:p>
    <w:p w14:paraId="41D5063E" w14:textId="77777777" w:rsidR="00902BAE" w:rsidRPr="0059414B" w:rsidRDefault="00902BAE" w:rsidP="00902BAE">
      <w:pPr>
        <w:pStyle w:val="Default"/>
        <w:jc w:val="center"/>
        <w:rPr>
          <w:rFonts w:ascii="Times New Roman" w:hAnsi="Times New Roman" w:cs="Times New Roman"/>
          <w:b/>
        </w:rPr>
      </w:pPr>
      <w:r w:rsidRPr="0059414B">
        <w:rPr>
          <w:rFonts w:ascii="Times New Roman" w:hAnsi="Times New Roman" w:cs="Times New Roman"/>
          <w:b/>
        </w:rPr>
        <w:t>ARIZONA RULES OF THE SUPREME COURT</w:t>
      </w:r>
    </w:p>
    <w:p w14:paraId="245D5D4E" w14:textId="77777777" w:rsidR="00902BAE" w:rsidRPr="0059414B" w:rsidRDefault="00902BAE" w:rsidP="00902BAE">
      <w:pPr>
        <w:pStyle w:val="Default"/>
        <w:jc w:val="center"/>
        <w:rPr>
          <w:rFonts w:ascii="Times New Roman" w:hAnsi="Times New Roman" w:cs="Times New Roman"/>
          <w:b/>
        </w:rPr>
      </w:pPr>
      <w:r w:rsidRPr="0059414B">
        <w:rPr>
          <w:rFonts w:ascii="Times New Roman" w:hAnsi="Times New Roman" w:cs="Times New Roman"/>
          <w:b/>
        </w:rPr>
        <w:t>Rule 55. Initiation of Proceedings; Investigation</w:t>
      </w:r>
    </w:p>
    <w:p w14:paraId="2CD13894" w14:textId="77777777" w:rsidR="00902BAE" w:rsidRPr="0059414B" w:rsidRDefault="00902BAE" w:rsidP="00902BAE">
      <w:pPr>
        <w:pStyle w:val="Default"/>
        <w:jc w:val="center"/>
        <w:rPr>
          <w:rFonts w:ascii="Times New Roman" w:hAnsi="Times New Roman" w:cs="Times New Roman"/>
          <w:b/>
        </w:rPr>
      </w:pPr>
    </w:p>
    <w:p w14:paraId="717444ED" w14:textId="77777777" w:rsidR="00902BAE" w:rsidRPr="0059414B" w:rsidRDefault="00902BAE" w:rsidP="00902BAE">
      <w:pPr>
        <w:pStyle w:val="Default"/>
        <w:numPr>
          <w:ilvl w:val="0"/>
          <w:numId w:val="1"/>
        </w:numPr>
        <w:rPr>
          <w:rFonts w:ascii="Times New Roman" w:hAnsi="Times New Roman" w:cs="Times New Roman"/>
          <w:b/>
        </w:rPr>
      </w:pPr>
      <w:r w:rsidRPr="0059414B">
        <w:rPr>
          <w:rFonts w:ascii="Times New Roman" w:hAnsi="Times New Roman" w:cs="Times New Roman"/>
          <w:b/>
        </w:rPr>
        <w:t>through (b)(2)(B) [no changes]</w:t>
      </w:r>
    </w:p>
    <w:p w14:paraId="14853D06" w14:textId="77777777" w:rsidR="00902BAE" w:rsidRPr="0059414B" w:rsidRDefault="00902BAE" w:rsidP="00902BAE">
      <w:pPr>
        <w:pStyle w:val="Default"/>
        <w:jc w:val="center"/>
        <w:rPr>
          <w:rFonts w:ascii="Times New Roman" w:hAnsi="Times New Roman" w:cs="Times New Roman"/>
          <w:b/>
        </w:rPr>
      </w:pPr>
    </w:p>
    <w:p w14:paraId="5682CBA5" w14:textId="77777777" w:rsidR="00902BAE" w:rsidRPr="0059414B" w:rsidRDefault="00902BAE" w:rsidP="00902BAE">
      <w:pPr>
        <w:spacing w:line="240" w:lineRule="auto"/>
        <w:jc w:val="center"/>
        <w:rPr>
          <w:sz w:val="24"/>
          <w:szCs w:val="24"/>
        </w:rPr>
      </w:pPr>
    </w:p>
    <w:p w14:paraId="72CB692E" w14:textId="77777777" w:rsidR="00902BAE" w:rsidRPr="0059414B" w:rsidRDefault="00902BAE" w:rsidP="00902BAE">
      <w:pPr>
        <w:spacing w:line="240" w:lineRule="auto"/>
        <w:ind w:left="720"/>
        <w:jc w:val="both"/>
        <w:rPr>
          <w:sz w:val="24"/>
          <w:szCs w:val="24"/>
        </w:rPr>
      </w:pPr>
      <w:r w:rsidRPr="0059414B">
        <w:rPr>
          <w:sz w:val="24"/>
          <w:szCs w:val="24"/>
        </w:rPr>
        <w:t>C. Recommendation Other than Dismissal. If, after investigation, bar counsel determines a recommendation for diversion, stay, probation, restitution, admonition, assessment of costs and expenses, or probable cause is appropriate, bar counsel shall provide to the complainant and to respondent a written explanation of the recommendation. Bar counsel shall inform the complainant of the right to submit a written objection, and the respondent of the right to submit a summary of the response to the charges</w:t>
      </w:r>
      <w:r w:rsidRPr="0059414B">
        <w:rPr>
          <w:strike/>
          <w:sz w:val="24"/>
          <w:szCs w:val="24"/>
        </w:rPr>
        <w:t>, not to exceed five (5) pages</w:t>
      </w:r>
      <w:r w:rsidRPr="0059414B">
        <w:rPr>
          <w:sz w:val="24"/>
          <w:szCs w:val="24"/>
        </w:rPr>
        <w:t>. Such documents shall be filed with the Records Manager of the Lawyer Regulation Office of the state bar within ten (10) days of receipt of the explanation. The Records Manager shall submit complainant's objection, if any, to the committee along with bar counsel's report of investigation and recommendation.</w:t>
      </w:r>
    </w:p>
    <w:p w14:paraId="0DD3F24A" w14:textId="77777777" w:rsidR="00F635A4" w:rsidRDefault="00F635A4"/>
    <w:sectPr w:rsidR="00F63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16255"/>
    <w:multiLevelType w:val="hybridMultilevel"/>
    <w:tmpl w:val="F306D83A"/>
    <w:lvl w:ilvl="0" w:tplc="3894DD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AE"/>
    <w:rsid w:val="0059414B"/>
    <w:rsid w:val="00902BAE"/>
    <w:rsid w:val="00F6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35FC"/>
  <w15:chartTrackingRefBased/>
  <w15:docId w15:val="{42978B57-5141-4BF3-A401-A6978089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AE"/>
    <w:pPr>
      <w:spacing w:after="0" w:line="508" w:lineRule="exac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2BAE"/>
    <w:pPr>
      <w:widowControl w:val="0"/>
      <w:autoSpaceDE w:val="0"/>
      <w:autoSpaceDN w:val="0"/>
      <w:adjustRightInd w:val="0"/>
      <w:spacing w:after="0" w:line="240" w:lineRule="auto"/>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0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Brianna C</dc:creator>
  <cp:keywords/>
  <dc:description/>
  <cp:lastModifiedBy>Farmer, Brianna C</cp:lastModifiedBy>
  <cp:revision>3</cp:revision>
  <dcterms:created xsi:type="dcterms:W3CDTF">2021-12-15T15:40:00Z</dcterms:created>
  <dcterms:modified xsi:type="dcterms:W3CDTF">2021-12-15T15:41:00Z</dcterms:modified>
</cp:coreProperties>
</file>