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BE58" w14:textId="77777777" w:rsidR="00041AED" w:rsidRDefault="002F2CF0">
      <w:pPr>
        <w:spacing w:after="0" w:line="278" w:lineRule="auto"/>
        <w:ind w:left="118" w:right="6284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Patience T. Huntwork</w:t>
      </w:r>
    </w:p>
    <w:p w14:paraId="46818FF4" w14:textId="0BD80998" w:rsidR="00D0523F" w:rsidRDefault="002F2CF0">
      <w:pPr>
        <w:spacing w:after="0" w:line="278" w:lineRule="auto"/>
        <w:ind w:left="118" w:right="6284" w:hanging="10"/>
        <w:jc w:val="both"/>
      </w:pPr>
      <w:r>
        <w:rPr>
          <w:rFonts w:ascii="Times New Roman" w:eastAsia="Times New Roman" w:hAnsi="Times New Roman" w:cs="Times New Roman"/>
          <w:sz w:val="28"/>
        </w:rPr>
        <w:t>Bar No. 005252</w:t>
      </w:r>
    </w:p>
    <w:p w14:paraId="737C4F04" w14:textId="77777777" w:rsidR="00D0523F" w:rsidRDefault="002F2CF0">
      <w:pPr>
        <w:spacing w:after="3"/>
        <w:ind w:left="1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Arizona Supreme Court </w:t>
      </w:r>
    </w:p>
    <w:p w14:paraId="02F04252" w14:textId="77777777" w:rsidR="00D0523F" w:rsidRDefault="002F2CF0">
      <w:pPr>
        <w:spacing w:after="3"/>
        <w:ind w:left="1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Staff Attorneys’ Office </w:t>
      </w:r>
    </w:p>
    <w:p w14:paraId="562CECA0" w14:textId="77777777" w:rsidR="00D0523F" w:rsidRDefault="002F2CF0">
      <w:pPr>
        <w:spacing w:after="3"/>
        <w:ind w:left="1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1501 W. Washington, Suite 445 </w:t>
      </w:r>
    </w:p>
    <w:p w14:paraId="51FE7527" w14:textId="77777777" w:rsidR="009A210D" w:rsidRDefault="002F2CF0">
      <w:pPr>
        <w:spacing w:after="3"/>
        <w:ind w:left="103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Phoenix, AZ  85007-3231 </w:t>
      </w:r>
    </w:p>
    <w:p w14:paraId="565D3FCB" w14:textId="29E1461E" w:rsidR="00D0523F" w:rsidRDefault="002F2CF0" w:rsidP="009A210D">
      <w:pPr>
        <w:spacing w:after="3"/>
        <w:ind w:left="103" w:hanging="10"/>
        <w:jc w:val="both"/>
      </w:pPr>
      <w:r>
        <w:rPr>
          <w:rFonts w:ascii="Times New Roman" w:eastAsia="Times New Roman" w:hAnsi="Times New Roman" w:cs="Times New Roman"/>
          <w:sz w:val="28"/>
        </w:rPr>
        <w:t>(602)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452-3385</w:t>
      </w:r>
    </w:p>
    <w:p w14:paraId="52652B6E" w14:textId="2996CCEC" w:rsidR="00D0523F" w:rsidRDefault="006825D3">
      <w:pPr>
        <w:spacing w:after="3"/>
        <w:ind w:left="103" w:hanging="10"/>
        <w:jc w:val="both"/>
        <w:rPr>
          <w:rFonts w:ascii="Times New Roman" w:eastAsia="Times New Roman" w:hAnsi="Times New Roman" w:cs="Times New Roman"/>
          <w:sz w:val="28"/>
        </w:rPr>
      </w:pPr>
      <w:hyperlink r:id="rId7" w:history="1">
        <w:r w:rsidR="009A210D" w:rsidRPr="00D0449F">
          <w:rPr>
            <w:rStyle w:val="Hyperlink"/>
            <w:rFonts w:ascii="Times New Roman" w:eastAsia="Times New Roman" w:hAnsi="Times New Roman" w:cs="Times New Roman"/>
            <w:sz w:val="28"/>
          </w:rPr>
          <w:t>phuntwork@courts.az.gov</w:t>
        </w:r>
      </w:hyperlink>
    </w:p>
    <w:p w14:paraId="1CDC05A1" w14:textId="77777777" w:rsidR="009A210D" w:rsidRDefault="009A210D">
      <w:pPr>
        <w:spacing w:after="3"/>
        <w:ind w:left="103" w:hanging="10"/>
        <w:jc w:val="both"/>
      </w:pPr>
    </w:p>
    <w:p w14:paraId="03AAF85F" w14:textId="77777777" w:rsidR="00746C51" w:rsidRPr="00041AED" w:rsidRDefault="00746C51" w:rsidP="00746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>IN THE SUPREME COURT OF THE STATE OF ARIZONA</w:t>
      </w:r>
    </w:p>
    <w:p w14:paraId="510706A3" w14:textId="77777777" w:rsidR="00746C51" w:rsidRPr="00041AED" w:rsidRDefault="00746C51" w:rsidP="00746C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688EA" w14:textId="59FB8C2F" w:rsidR="00746C51" w:rsidRPr="00041AED" w:rsidRDefault="00746C51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 xml:space="preserve">In </w:t>
      </w:r>
      <w:r w:rsidR="003474F0" w:rsidRPr="00041AED">
        <w:rPr>
          <w:rFonts w:ascii="Times New Roman" w:hAnsi="Times New Roman" w:cs="Times New Roman"/>
          <w:sz w:val="28"/>
          <w:szCs w:val="28"/>
        </w:rPr>
        <w:t>the Matter of</w:t>
      </w:r>
      <w:r w:rsidRPr="00041AED">
        <w:rPr>
          <w:rFonts w:ascii="Times New Roman" w:hAnsi="Times New Roman" w:cs="Times New Roman"/>
          <w:sz w:val="28"/>
          <w:szCs w:val="28"/>
        </w:rPr>
        <w:t>:</w:t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4B0F297C" w14:textId="77777777" w:rsidR="00746C51" w:rsidRPr="00041AED" w:rsidRDefault="00746C51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1FB767E5" w14:textId="39FF8968" w:rsidR="00746C51" w:rsidRPr="00041AED" w:rsidRDefault="00746C51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>PETITION FOR THE ADOPTION</w:t>
      </w:r>
      <w:r w:rsidRPr="00041AED">
        <w:rPr>
          <w:rFonts w:ascii="Times New Roman" w:hAnsi="Times New Roman" w:cs="Times New Roman"/>
          <w:sz w:val="28"/>
          <w:szCs w:val="28"/>
        </w:rPr>
        <w:tab/>
        <w:t>)</w:t>
      </w:r>
      <w:r w:rsidR="003474F0" w:rsidRPr="00041AED">
        <w:rPr>
          <w:rFonts w:ascii="Times New Roman" w:hAnsi="Times New Roman" w:cs="Times New Roman"/>
          <w:sz w:val="28"/>
          <w:szCs w:val="28"/>
        </w:rPr>
        <w:tab/>
      </w:r>
      <w:r w:rsidRPr="00041AED">
        <w:rPr>
          <w:rFonts w:ascii="Times New Roman" w:hAnsi="Times New Roman" w:cs="Times New Roman"/>
          <w:sz w:val="28"/>
          <w:szCs w:val="28"/>
        </w:rPr>
        <w:t>Supreme Court No. R-</w:t>
      </w:r>
    </w:p>
    <w:p w14:paraId="5A197A9B" w14:textId="0BC7AA13" w:rsidR="00746C51" w:rsidRPr="00041AED" w:rsidRDefault="00041AED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A </w:t>
      </w:r>
      <w:r w:rsidR="00746C51" w:rsidRPr="00041AED">
        <w:rPr>
          <w:rFonts w:ascii="Times New Roman" w:hAnsi="Times New Roman" w:cs="Times New Roman"/>
          <w:sz w:val="28"/>
          <w:szCs w:val="28"/>
        </w:rPr>
        <w:t xml:space="preserve">CLERICAL AMENDMENT </w:t>
      </w:r>
      <w:r w:rsidR="00746C51"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1E8171EA" w14:textId="75F63736" w:rsidR="00746C51" w:rsidRPr="00041AED" w:rsidRDefault="00041AED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 xml:space="preserve">TO RULE </w:t>
      </w:r>
      <w:r w:rsidR="00746C51" w:rsidRPr="00041AED">
        <w:rPr>
          <w:rFonts w:ascii="Times New Roman" w:hAnsi="Times New Roman" w:cs="Times New Roman"/>
          <w:sz w:val="28"/>
          <w:szCs w:val="28"/>
        </w:rPr>
        <w:t>20(e)</w:t>
      </w:r>
      <w:r w:rsidR="003474F0" w:rsidRPr="00041AED">
        <w:rPr>
          <w:rFonts w:ascii="Times New Roman" w:hAnsi="Times New Roman" w:cs="Times New Roman"/>
          <w:sz w:val="28"/>
          <w:szCs w:val="28"/>
        </w:rPr>
        <w:t>(4), LOCAL RULES</w:t>
      </w:r>
      <w:r w:rsidR="00746C51"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7E4E8645" w14:textId="26C7094C" w:rsidR="0079012C" w:rsidRPr="00041AED" w:rsidRDefault="00041AED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>OF PRACTICE,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4F0" w:rsidRPr="00041AED">
        <w:rPr>
          <w:rFonts w:ascii="Times New Roman" w:hAnsi="Times New Roman" w:cs="Times New Roman"/>
          <w:sz w:val="28"/>
          <w:szCs w:val="28"/>
        </w:rPr>
        <w:t>APACHE</w:t>
      </w:r>
      <w:r>
        <w:rPr>
          <w:rFonts w:ascii="Times New Roman" w:hAnsi="Times New Roman" w:cs="Times New Roman"/>
          <w:sz w:val="28"/>
          <w:szCs w:val="28"/>
        </w:rPr>
        <w:tab/>
      </w:r>
      <w:r w:rsidR="0079012C"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569047F5" w14:textId="4CEA9691" w:rsidR="003474F0" w:rsidRPr="00041AED" w:rsidRDefault="00041AED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>COUNTY SUPERIOR COURT</w:t>
      </w:r>
      <w:r w:rsidR="003474F0" w:rsidRPr="00041AED">
        <w:rPr>
          <w:rFonts w:ascii="Times New Roman" w:hAnsi="Times New Roman" w:cs="Times New Roman"/>
          <w:sz w:val="28"/>
          <w:szCs w:val="28"/>
        </w:rPr>
        <w:tab/>
        <w:t>)</w:t>
      </w:r>
    </w:p>
    <w:p w14:paraId="66FBDD2C" w14:textId="6EFB4824" w:rsidR="00746C51" w:rsidRPr="00041AED" w:rsidRDefault="00746C51" w:rsidP="00746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AED"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1CB6767F" w14:textId="1EECBA35" w:rsidR="00746C51" w:rsidRDefault="00746C51" w:rsidP="00746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05572" w14:textId="77777777" w:rsidR="00746C51" w:rsidRDefault="00746C51" w:rsidP="00746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EEF00" w14:textId="797C8B79" w:rsidR="005A5E20" w:rsidRDefault="002F2CF0" w:rsidP="00380DF8">
      <w:pPr>
        <w:spacing w:after="0" w:line="475" w:lineRule="auto"/>
        <w:ind w:left="-15" w:right="-15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On August 24, 2021, the Arizona Supreme Court amended Arizona’s rules of statewide application </w:t>
      </w:r>
      <w:r w:rsidR="00380DF8">
        <w:rPr>
          <w:rFonts w:ascii="Times New Roman" w:eastAsia="Times New Roman" w:hAnsi="Times New Roman" w:cs="Times New Roman"/>
          <w:sz w:val="28"/>
        </w:rPr>
        <w:t>by</w:t>
      </w:r>
      <w:r>
        <w:rPr>
          <w:rFonts w:ascii="Times New Roman" w:eastAsia="Times New Roman" w:hAnsi="Times New Roman" w:cs="Times New Roman"/>
          <w:sz w:val="28"/>
        </w:rPr>
        <w:t xml:space="preserve"> eliminat</w:t>
      </w:r>
      <w:r w:rsidR="00380DF8">
        <w:rPr>
          <w:rFonts w:ascii="Times New Roman" w:eastAsia="Times New Roman" w:hAnsi="Times New Roman" w:cs="Times New Roman"/>
          <w:sz w:val="28"/>
        </w:rPr>
        <w:t>ing</w:t>
      </w:r>
      <w:r>
        <w:rPr>
          <w:rFonts w:ascii="Times New Roman" w:eastAsia="Times New Roman" w:hAnsi="Times New Roman" w:cs="Times New Roman"/>
          <w:sz w:val="28"/>
        </w:rPr>
        <w:t xml:space="preserve"> peremptory strikes from jury selection in civil and criminal trials in the State of Arizona effective January 1, 2022. See R-21-0020.  Rule 20(e)(4) of the Local Rules of Practice for the Superior Court in Apache County </w:t>
      </w:r>
      <w:r w:rsidR="005A5E20">
        <w:rPr>
          <w:rFonts w:ascii="Times New Roman" w:eastAsia="Times New Roman" w:hAnsi="Times New Roman" w:cs="Times New Roman"/>
          <w:sz w:val="28"/>
        </w:rPr>
        <w:t xml:space="preserve">currently references peremptory strikes in jury selection in civil and criminal cases and therefore, as of January 1, 2022, </w:t>
      </w:r>
      <w:r w:rsidR="00380DF8">
        <w:rPr>
          <w:rFonts w:ascii="Times New Roman" w:eastAsia="Times New Roman" w:hAnsi="Times New Roman" w:cs="Times New Roman"/>
          <w:sz w:val="28"/>
        </w:rPr>
        <w:t>will be</w:t>
      </w:r>
      <w:r>
        <w:rPr>
          <w:rFonts w:ascii="Times New Roman" w:eastAsia="Times New Roman" w:hAnsi="Times New Roman" w:cs="Times New Roman"/>
          <w:sz w:val="28"/>
        </w:rPr>
        <w:t xml:space="preserve"> in conflict with th</w:t>
      </w:r>
      <w:r w:rsidR="00380DF8">
        <w:rPr>
          <w:rFonts w:ascii="Times New Roman" w:eastAsia="Times New Roman" w:hAnsi="Times New Roman" w:cs="Times New Roman"/>
          <w:sz w:val="28"/>
        </w:rPr>
        <w:t xml:space="preserve">e Court’s </w:t>
      </w:r>
      <w:r w:rsidR="005A5E20">
        <w:rPr>
          <w:rFonts w:ascii="Times New Roman" w:eastAsia="Times New Roman" w:hAnsi="Times New Roman" w:cs="Times New Roman"/>
          <w:sz w:val="28"/>
        </w:rPr>
        <w:t>action with respect to the</w:t>
      </w:r>
      <w:r w:rsidR="00380DF8">
        <w:rPr>
          <w:rFonts w:ascii="Times New Roman" w:eastAsia="Times New Roman" w:hAnsi="Times New Roman" w:cs="Times New Roman"/>
          <w:sz w:val="28"/>
        </w:rPr>
        <w:t xml:space="preserve"> statewide rules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B0497D">
        <w:rPr>
          <w:rFonts w:ascii="Times New Roman" w:eastAsia="Times New Roman" w:hAnsi="Times New Roman" w:cs="Times New Roman"/>
          <w:sz w:val="28"/>
        </w:rPr>
        <w:t xml:space="preserve">As such, it </w:t>
      </w:r>
      <w:r w:rsidR="00EC6985">
        <w:rPr>
          <w:rFonts w:ascii="Times New Roman" w:eastAsia="Times New Roman" w:hAnsi="Times New Roman" w:cs="Times New Roman"/>
          <w:sz w:val="28"/>
        </w:rPr>
        <w:t xml:space="preserve">will be invalid. </w:t>
      </w:r>
      <w:r w:rsidR="005A5E20">
        <w:rPr>
          <w:rFonts w:ascii="Times New Roman" w:eastAsia="Times New Roman" w:hAnsi="Times New Roman" w:cs="Times New Roman"/>
          <w:sz w:val="28"/>
        </w:rPr>
        <w:t xml:space="preserve">See Rule 28.1, Rules of the Supreme Court  (“Local rules and amendments must be consistent with rules of statewide application and must be approved by the Supreme Court.”). </w:t>
      </w:r>
    </w:p>
    <w:p w14:paraId="7F2C946D" w14:textId="3601F024" w:rsidR="004C5764" w:rsidRDefault="002F2CF0" w:rsidP="005A5E20">
      <w:pPr>
        <w:spacing w:after="0" w:line="475" w:lineRule="auto"/>
        <w:ind w:left="-15" w:right="-15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The Staff Attorneys' office petitions </w:t>
      </w:r>
      <w:r w:rsidR="005A5E20">
        <w:rPr>
          <w:rFonts w:ascii="Times New Roman" w:eastAsia="Times New Roman" w:hAnsi="Times New Roman" w:cs="Times New Roman"/>
          <w:sz w:val="28"/>
        </w:rPr>
        <w:t xml:space="preserve">for a clerical amendment to </w:t>
      </w:r>
      <w:r>
        <w:rPr>
          <w:rFonts w:ascii="Times New Roman" w:eastAsia="Times New Roman" w:hAnsi="Times New Roman" w:cs="Times New Roman"/>
          <w:sz w:val="28"/>
        </w:rPr>
        <w:t xml:space="preserve">Rule 20(e)(4) </w:t>
      </w:r>
      <w:r w:rsidR="004C5764">
        <w:rPr>
          <w:rFonts w:ascii="Times New Roman" w:eastAsia="Times New Roman" w:hAnsi="Times New Roman" w:cs="Times New Roman"/>
          <w:sz w:val="28"/>
        </w:rPr>
        <w:t>that would remove</w:t>
      </w:r>
      <w:r w:rsidR="00380DF8">
        <w:rPr>
          <w:rFonts w:ascii="Times New Roman" w:eastAsia="Times New Roman" w:hAnsi="Times New Roman" w:cs="Times New Roman"/>
          <w:sz w:val="28"/>
        </w:rPr>
        <w:t xml:space="preserve"> the non-conforming reference to peremptory strikes in civil and criminal cases </w:t>
      </w:r>
      <w:r w:rsidR="004C5764">
        <w:rPr>
          <w:rFonts w:ascii="Times New Roman" w:eastAsia="Times New Roman" w:hAnsi="Times New Roman" w:cs="Times New Roman"/>
          <w:sz w:val="28"/>
        </w:rPr>
        <w:t xml:space="preserve">from the rule, and replace it with a reference to “jury selection,” </w:t>
      </w:r>
      <w:r w:rsidR="005A5E20">
        <w:rPr>
          <w:rFonts w:ascii="Times New Roman" w:eastAsia="Times New Roman" w:hAnsi="Times New Roman" w:cs="Times New Roman"/>
          <w:sz w:val="28"/>
        </w:rPr>
        <w:t>effective January 1, 2022</w:t>
      </w:r>
      <w:r>
        <w:rPr>
          <w:rFonts w:ascii="Times New Roman" w:eastAsia="Times New Roman" w:hAnsi="Times New Roman" w:cs="Times New Roman"/>
          <w:sz w:val="28"/>
        </w:rPr>
        <w:t>.</w:t>
      </w:r>
      <w:r w:rsidR="005A5E20">
        <w:rPr>
          <w:rFonts w:ascii="Times New Roman" w:eastAsia="Times New Roman" w:hAnsi="Times New Roman" w:cs="Times New Roman"/>
          <w:sz w:val="28"/>
        </w:rPr>
        <w:t xml:space="preserve">  Consistent with the Court’s action taken in R-21-0020, the amendment should be </w:t>
      </w:r>
      <w:r w:rsidR="004C5764">
        <w:rPr>
          <w:rFonts w:ascii="Times New Roman" w:eastAsia="Times New Roman" w:hAnsi="Times New Roman" w:cs="Times New Roman"/>
          <w:sz w:val="28"/>
        </w:rPr>
        <w:t>applicable to all cases in which the first day of jury selection occurs after January 1, 2022. The text of the amendment is as follows:</w:t>
      </w:r>
    </w:p>
    <w:p w14:paraId="75F788D5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5A5E20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Rule 20. Pretrial statements and Conferences—Discovery </w:t>
      </w:r>
    </w:p>
    <w:p w14:paraId="34495023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14:paraId="7B9412D2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5A5E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a.-d. [no change]</w:t>
      </w:r>
    </w:p>
    <w:p w14:paraId="7AA306C2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  <w:r w:rsidRPr="005A5E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e. Pretrial Conference.</w:t>
      </w:r>
      <w:r w:rsidRPr="005A5E20">
        <w:rPr>
          <w:rFonts w:ascii="Times New Roman" w:hAnsi="Times New Roman" w:cs="Times New Roman"/>
          <w:color w:val="212121"/>
          <w:sz w:val="28"/>
          <w:szCs w:val="28"/>
        </w:rPr>
        <w:t> In both criminal and civil cases, in addition to the matters set forth in the pretrial statement, the Court will consider and counsel shall be prepared to discuss:</w:t>
      </w:r>
    </w:p>
    <w:p w14:paraId="5B474613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  <w:r w:rsidRPr="005A5E20">
        <w:rPr>
          <w:rFonts w:ascii="Times New Roman" w:hAnsi="Times New Roman" w:cs="Times New Roman"/>
          <w:color w:val="212121"/>
          <w:sz w:val="28"/>
          <w:szCs w:val="28"/>
        </w:rPr>
        <w:t>(1) Motions deferred to the pretrial conference and legal issues expected to be encountered at trial.</w:t>
      </w:r>
    </w:p>
    <w:p w14:paraId="58581BA5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  <w:r w:rsidRPr="005A5E20">
        <w:rPr>
          <w:rFonts w:ascii="Times New Roman" w:hAnsi="Times New Roman" w:cs="Times New Roman"/>
          <w:color w:val="212121"/>
          <w:sz w:val="28"/>
          <w:szCs w:val="28"/>
        </w:rPr>
        <w:t>(2) Any matter by way of stipulation, pleading or proof that may simplify the issues or expedite the trial.</w:t>
      </w:r>
    </w:p>
    <w:p w14:paraId="4729737D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  <w:r w:rsidRPr="005A5E20">
        <w:rPr>
          <w:rFonts w:ascii="Times New Roman" w:hAnsi="Times New Roman" w:cs="Times New Roman"/>
          <w:color w:val="212121"/>
          <w:sz w:val="28"/>
          <w:szCs w:val="28"/>
        </w:rPr>
        <w:t>(3) Requirements of necessity of filing trial briefs.</w:t>
      </w:r>
    </w:p>
    <w:p w14:paraId="1C40677E" w14:textId="77777777" w:rsidR="005A5E20" w:rsidRP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color w:val="212121"/>
          <w:sz w:val="28"/>
          <w:szCs w:val="28"/>
        </w:rPr>
      </w:pPr>
      <w:r w:rsidRPr="005A5E20">
        <w:rPr>
          <w:rFonts w:ascii="Times New Roman" w:hAnsi="Times New Roman" w:cs="Times New Roman"/>
          <w:color w:val="212121"/>
          <w:sz w:val="28"/>
          <w:szCs w:val="28"/>
        </w:rPr>
        <w:t xml:space="preserve">(4) Number of jurors, alternates, </w:t>
      </w:r>
      <w:r w:rsidRPr="005A5E20">
        <w:rPr>
          <w:rFonts w:ascii="Times New Roman" w:hAnsi="Times New Roman" w:cs="Times New Roman"/>
          <w:strike/>
          <w:color w:val="212121"/>
          <w:sz w:val="28"/>
          <w:szCs w:val="28"/>
        </w:rPr>
        <w:t xml:space="preserve">peremptory strikes </w:t>
      </w:r>
      <w:r w:rsidRPr="005A5E20">
        <w:rPr>
          <w:rFonts w:ascii="Times New Roman" w:hAnsi="Times New Roman" w:cs="Times New Roman"/>
          <w:color w:val="212121"/>
          <w:sz w:val="28"/>
          <w:szCs w:val="28"/>
          <w:u w:val="single"/>
        </w:rPr>
        <w:t>jury selection</w:t>
      </w:r>
      <w:r w:rsidRPr="005A5E20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14:paraId="6DCF0185" w14:textId="12A3A8CA" w:rsidR="005A5E20" w:rsidRDefault="005A5E20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  <w:r w:rsidRPr="005A5E20">
        <w:rPr>
          <w:rFonts w:ascii="Times New Roman" w:hAnsi="Times New Roman" w:cs="Times New Roman"/>
          <w:sz w:val="28"/>
          <w:szCs w:val="28"/>
        </w:rPr>
        <w:t>(5)-(12) [No change]</w:t>
      </w:r>
    </w:p>
    <w:p w14:paraId="2B8EFA6B" w14:textId="272994B8" w:rsidR="004C5764" w:rsidRDefault="004C5764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</w:p>
    <w:p w14:paraId="013B1304" w14:textId="77777777" w:rsidR="004C5764" w:rsidRPr="005A5E20" w:rsidRDefault="004C5764" w:rsidP="00B0497D">
      <w:pPr>
        <w:pStyle w:val="xxmsonormal"/>
        <w:shd w:val="clear" w:color="auto" w:fill="FFFFFF"/>
        <w:ind w:left="576" w:right="576"/>
        <w:rPr>
          <w:rFonts w:ascii="Times New Roman" w:hAnsi="Times New Roman" w:cs="Times New Roman"/>
          <w:sz w:val="28"/>
          <w:szCs w:val="28"/>
        </w:rPr>
      </w:pPr>
    </w:p>
    <w:p w14:paraId="7413EBAB" w14:textId="22DD195C" w:rsidR="009A210D" w:rsidRPr="009A210D" w:rsidRDefault="009A210D" w:rsidP="009A210D">
      <w:pPr>
        <w:spacing w:after="7"/>
        <w:rPr>
          <w:rFonts w:ascii="Times New Roman" w:eastAsia="Times New Roman" w:hAnsi="Times New Roman" w:cs="Times New Roman"/>
          <w:sz w:val="28"/>
        </w:rPr>
      </w:pPr>
      <w:r w:rsidRPr="009A210D">
        <w:rPr>
          <w:rFonts w:ascii="Times New Roman" w:eastAsia="Times New Roman" w:hAnsi="Times New Roman" w:cs="Times New Roman"/>
          <w:sz w:val="28"/>
        </w:rPr>
        <w:t xml:space="preserve">RESPECTFULLY SUBMITTED this </w:t>
      </w:r>
      <w:r w:rsidR="00B0497D">
        <w:rPr>
          <w:rFonts w:ascii="Times New Roman" w:eastAsia="Times New Roman" w:hAnsi="Times New Roman" w:cs="Times New Roman"/>
          <w:sz w:val="28"/>
        </w:rPr>
        <w:t>29th</w:t>
      </w:r>
      <w:r w:rsidRPr="009A210D">
        <w:rPr>
          <w:rFonts w:ascii="Times New Roman" w:eastAsia="Times New Roman" w:hAnsi="Times New Roman" w:cs="Times New Roman"/>
          <w:sz w:val="28"/>
        </w:rPr>
        <w:t xml:space="preserve"> day of September, 20</w:t>
      </w:r>
      <w:r>
        <w:rPr>
          <w:rFonts w:ascii="Times New Roman" w:eastAsia="Times New Roman" w:hAnsi="Times New Roman" w:cs="Times New Roman"/>
          <w:sz w:val="28"/>
        </w:rPr>
        <w:t>21</w:t>
      </w:r>
      <w:r w:rsidRPr="009A210D">
        <w:rPr>
          <w:rFonts w:ascii="Times New Roman" w:eastAsia="Times New Roman" w:hAnsi="Times New Roman" w:cs="Times New Roman"/>
          <w:sz w:val="28"/>
        </w:rPr>
        <w:t>.</w:t>
      </w:r>
    </w:p>
    <w:p w14:paraId="3B44F4C2" w14:textId="77777777" w:rsidR="009A210D" w:rsidRPr="009A210D" w:rsidRDefault="009A210D" w:rsidP="009A210D">
      <w:pPr>
        <w:spacing w:after="7"/>
        <w:rPr>
          <w:rFonts w:ascii="Times New Roman" w:eastAsia="Times New Roman" w:hAnsi="Times New Roman" w:cs="Times New Roman"/>
          <w:sz w:val="28"/>
        </w:rPr>
      </w:pPr>
    </w:p>
    <w:p w14:paraId="5F6E9735" w14:textId="77777777" w:rsidR="009A210D" w:rsidRPr="009A210D" w:rsidRDefault="009A210D" w:rsidP="009A210D">
      <w:pPr>
        <w:spacing w:after="7"/>
        <w:rPr>
          <w:rFonts w:ascii="Times New Roman" w:eastAsia="Times New Roman" w:hAnsi="Times New Roman" w:cs="Times New Roman"/>
          <w:sz w:val="28"/>
        </w:rPr>
      </w:pPr>
    </w:p>
    <w:p w14:paraId="30ABB933" w14:textId="449F05C4" w:rsidR="009A210D" w:rsidRPr="009A210D" w:rsidRDefault="009A210D" w:rsidP="009A210D">
      <w:pPr>
        <w:spacing w:after="7"/>
        <w:rPr>
          <w:rFonts w:ascii="Times New Roman" w:eastAsia="Times New Roman" w:hAnsi="Times New Roman" w:cs="Times New Roman"/>
          <w:sz w:val="28"/>
          <w:u w:val="single"/>
        </w:rPr>
      </w:pP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 /s/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0AF87462" w14:textId="29D513F6" w:rsidR="00D0523F" w:rsidRDefault="009A210D" w:rsidP="009A210D">
      <w:pPr>
        <w:spacing w:after="7"/>
      </w:pP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 w:rsidRPr="009A210D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Patience Huntwork, Staff Attorney</w:t>
      </w:r>
    </w:p>
    <w:sectPr w:rsidR="00D0523F">
      <w:footerReference w:type="even" r:id="rId8"/>
      <w:footerReference w:type="default" r:id="rId9"/>
      <w:footerReference w:type="first" r:id="rId10"/>
      <w:footnotePr>
        <w:numRestart w:val="eachPage"/>
      </w:footnotePr>
      <w:pgSz w:w="12240" w:h="15840"/>
      <w:pgMar w:top="1411" w:right="1231" w:bottom="1044" w:left="1440" w:header="72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BDC63" w14:textId="77777777" w:rsidR="006825D3" w:rsidRDefault="006825D3">
      <w:pPr>
        <w:spacing w:after="0" w:line="240" w:lineRule="auto"/>
      </w:pPr>
      <w:r>
        <w:separator/>
      </w:r>
    </w:p>
  </w:endnote>
  <w:endnote w:type="continuationSeparator" w:id="0">
    <w:p w14:paraId="44AEC66F" w14:textId="77777777" w:rsidR="006825D3" w:rsidRDefault="0068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D9038" w14:textId="77777777" w:rsidR="00D0523F" w:rsidRDefault="002F2CF0">
    <w:pPr>
      <w:spacing w:after="0"/>
      <w:ind w:left="4517"/>
    </w:pPr>
    <w:r>
      <w:rPr>
        <w:rFonts w:ascii="Times New Roman" w:eastAsia="Times New Roman" w:hAnsi="Times New Roman" w:cs="Times New Roman"/>
        <w:sz w:val="2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6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92C3" w14:textId="77777777" w:rsidR="00D0523F" w:rsidRDefault="002F2CF0">
    <w:pPr>
      <w:spacing w:after="0"/>
      <w:ind w:left="4517"/>
    </w:pPr>
    <w:r>
      <w:rPr>
        <w:rFonts w:ascii="Times New Roman" w:eastAsia="Times New Roman" w:hAnsi="Times New Roman" w:cs="Times New Roman"/>
        <w:sz w:val="2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6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CA626" w14:textId="77777777" w:rsidR="00D0523F" w:rsidRDefault="002F2CF0">
    <w:pPr>
      <w:spacing w:after="0"/>
      <w:ind w:left="4517"/>
    </w:pPr>
    <w:r>
      <w:rPr>
        <w:rFonts w:ascii="Times New Roman" w:eastAsia="Times New Roman" w:hAnsi="Times New Roman" w:cs="Times New Roman"/>
        <w:sz w:val="2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6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ED68" w14:textId="77777777" w:rsidR="006825D3" w:rsidRDefault="006825D3">
      <w:pPr>
        <w:spacing w:after="0" w:line="252" w:lineRule="auto"/>
        <w:ind w:right="34" w:firstLine="720"/>
      </w:pPr>
      <w:r>
        <w:separator/>
      </w:r>
    </w:p>
  </w:footnote>
  <w:footnote w:type="continuationSeparator" w:id="0">
    <w:p w14:paraId="6CEEBA8D" w14:textId="77777777" w:rsidR="006825D3" w:rsidRDefault="006825D3">
      <w:pPr>
        <w:spacing w:after="0" w:line="252" w:lineRule="auto"/>
        <w:ind w:right="34" w:firstLine="7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A3488"/>
    <w:multiLevelType w:val="hybridMultilevel"/>
    <w:tmpl w:val="E342DC78"/>
    <w:lvl w:ilvl="0" w:tplc="79181670">
      <w:start w:val="1"/>
      <w:numFmt w:val="bullet"/>
      <w:lvlText w:val="*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E0CE98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A20C7C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3A02BA">
      <w:start w:val="1"/>
      <w:numFmt w:val="bullet"/>
      <w:lvlText w:val="•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0007DA">
      <w:start w:val="1"/>
      <w:numFmt w:val="bullet"/>
      <w:lvlText w:val="o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5E92FE">
      <w:start w:val="1"/>
      <w:numFmt w:val="bullet"/>
      <w:lvlText w:val="▪"/>
      <w:lvlJc w:val="left"/>
      <w:pPr>
        <w:ind w:left="7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3C7376">
      <w:start w:val="1"/>
      <w:numFmt w:val="bullet"/>
      <w:lvlText w:val="•"/>
      <w:lvlJc w:val="left"/>
      <w:pPr>
        <w:ind w:left="8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F097A8">
      <w:start w:val="1"/>
      <w:numFmt w:val="bullet"/>
      <w:lvlText w:val="o"/>
      <w:lvlJc w:val="left"/>
      <w:pPr>
        <w:ind w:left="9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1C3E34">
      <w:start w:val="1"/>
      <w:numFmt w:val="bullet"/>
      <w:lvlText w:val="▪"/>
      <w:lvlJc w:val="left"/>
      <w:pPr>
        <w:ind w:left="10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8D1865"/>
    <w:multiLevelType w:val="hybridMultilevel"/>
    <w:tmpl w:val="FF4E07CA"/>
    <w:lvl w:ilvl="0" w:tplc="305234EA">
      <w:start w:val="1"/>
      <w:numFmt w:val="bullet"/>
      <w:lvlText w:val="*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884E50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3CB244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509172">
      <w:start w:val="1"/>
      <w:numFmt w:val="bullet"/>
      <w:lvlText w:val="•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B493E6">
      <w:start w:val="1"/>
      <w:numFmt w:val="bullet"/>
      <w:lvlText w:val="o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222EAC">
      <w:start w:val="1"/>
      <w:numFmt w:val="bullet"/>
      <w:lvlText w:val="▪"/>
      <w:lvlJc w:val="left"/>
      <w:pPr>
        <w:ind w:left="7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881C0C">
      <w:start w:val="1"/>
      <w:numFmt w:val="bullet"/>
      <w:lvlText w:val="•"/>
      <w:lvlJc w:val="left"/>
      <w:pPr>
        <w:ind w:left="8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583478">
      <w:start w:val="1"/>
      <w:numFmt w:val="bullet"/>
      <w:lvlText w:val="o"/>
      <w:lvlJc w:val="left"/>
      <w:pPr>
        <w:ind w:left="9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D6181E">
      <w:start w:val="1"/>
      <w:numFmt w:val="bullet"/>
      <w:lvlText w:val="▪"/>
      <w:lvlJc w:val="left"/>
      <w:pPr>
        <w:ind w:left="10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3F"/>
    <w:rsid w:val="00041AED"/>
    <w:rsid w:val="00271856"/>
    <w:rsid w:val="002F2CF0"/>
    <w:rsid w:val="003474F0"/>
    <w:rsid w:val="00380DF8"/>
    <w:rsid w:val="00484688"/>
    <w:rsid w:val="004C5764"/>
    <w:rsid w:val="005A5E20"/>
    <w:rsid w:val="006825D3"/>
    <w:rsid w:val="00746C51"/>
    <w:rsid w:val="0079012C"/>
    <w:rsid w:val="00894870"/>
    <w:rsid w:val="009A210D"/>
    <w:rsid w:val="00B0497D"/>
    <w:rsid w:val="00B954EC"/>
    <w:rsid w:val="00C5778A"/>
    <w:rsid w:val="00D0523F"/>
    <w:rsid w:val="00E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AFE7"/>
  <w15:docId w15:val="{44D0D476-3A38-4C1B-B974-1AC6C09B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4" w:line="249" w:lineRule="auto"/>
      <w:ind w:left="10" w:right="212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2" w:lineRule="auto"/>
      <w:ind w:right="34" w:firstLine="720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80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F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F8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Normal0">
    <w:name w:val="[Normal]"/>
    <w:uiPriority w:val="99"/>
    <w:rsid w:val="0038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xmsonormal">
    <w:name w:val="x_xmsonormal"/>
    <w:basedOn w:val="Normal"/>
    <w:rsid w:val="00380DF8"/>
    <w:pPr>
      <w:spacing w:after="0" w:line="240" w:lineRule="auto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9A2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untwork@courts.az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2106</Characters>
  <Application>Microsoft Office Word</Application>
  <DocSecurity>0</DocSecurity>
  <Lines>162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John W</dc:creator>
  <cp:keywords/>
  <dc:description/>
  <cp:lastModifiedBy>Huntwork, Patience</cp:lastModifiedBy>
  <cp:revision>4</cp:revision>
  <dcterms:created xsi:type="dcterms:W3CDTF">2021-09-29T21:56:00Z</dcterms:created>
  <dcterms:modified xsi:type="dcterms:W3CDTF">2021-09-29T22:35:00Z</dcterms:modified>
</cp:coreProperties>
</file>