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7097" w14:textId="5435E077" w:rsidR="00660648" w:rsidRDefault="00660648" w:rsidP="007F54A2">
      <w:pPr>
        <w:jc w:val="both"/>
        <w:rPr>
          <w:sz w:val="28"/>
          <w:szCs w:val="28"/>
        </w:rPr>
      </w:pPr>
      <w:r>
        <w:rPr>
          <w:sz w:val="28"/>
          <w:szCs w:val="28"/>
        </w:rPr>
        <w:t xml:space="preserve">Honorable Paul McMurdie, Chair  </w:t>
      </w:r>
    </w:p>
    <w:p w14:paraId="37E6EB47" w14:textId="0F8CEE8E" w:rsidR="00742148" w:rsidRDefault="00660648" w:rsidP="007F54A2">
      <w:pPr>
        <w:jc w:val="both"/>
        <w:rPr>
          <w:sz w:val="28"/>
          <w:szCs w:val="28"/>
        </w:rPr>
      </w:pPr>
      <w:r>
        <w:rPr>
          <w:sz w:val="28"/>
          <w:szCs w:val="28"/>
        </w:rPr>
        <w:t xml:space="preserve">Arizona Supreme Court Attorney </w:t>
      </w:r>
      <w:r w:rsidR="000C12C9">
        <w:rPr>
          <w:sz w:val="28"/>
          <w:szCs w:val="28"/>
        </w:rPr>
        <w:t>Ethics Advisory Committee</w:t>
      </w:r>
    </w:p>
    <w:p w14:paraId="52B547B6" w14:textId="07E69911" w:rsidR="00660648" w:rsidRDefault="00660648" w:rsidP="007F54A2">
      <w:pPr>
        <w:jc w:val="both"/>
        <w:rPr>
          <w:sz w:val="28"/>
          <w:szCs w:val="28"/>
        </w:rPr>
      </w:pPr>
      <w:r>
        <w:rPr>
          <w:sz w:val="28"/>
          <w:szCs w:val="28"/>
        </w:rPr>
        <w:t xml:space="preserve">1501 W. Washington St., Suite 104 </w:t>
      </w:r>
    </w:p>
    <w:p w14:paraId="348AE00B" w14:textId="2E2A63B0" w:rsidR="00660648" w:rsidRDefault="00660648" w:rsidP="007F54A2">
      <w:pPr>
        <w:jc w:val="both"/>
        <w:rPr>
          <w:sz w:val="28"/>
          <w:szCs w:val="28"/>
        </w:rPr>
      </w:pPr>
      <w:r>
        <w:rPr>
          <w:sz w:val="28"/>
          <w:szCs w:val="28"/>
        </w:rPr>
        <w:t>Phoenix, AZ 85007</w:t>
      </w:r>
    </w:p>
    <w:p w14:paraId="2B3F1E45" w14:textId="3EA50D7D" w:rsidR="00660648" w:rsidRDefault="00660648" w:rsidP="007F54A2">
      <w:pPr>
        <w:jc w:val="both"/>
        <w:rPr>
          <w:sz w:val="28"/>
          <w:szCs w:val="28"/>
        </w:rPr>
      </w:pPr>
      <w:r>
        <w:rPr>
          <w:sz w:val="28"/>
          <w:szCs w:val="28"/>
        </w:rPr>
        <w:t>602-452-3656</w:t>
      </w:r>
    </w:p>
    <w:p w14:paraId="5D033705" w14:textId="1C00C2EC" w:rsidR="00660648" w:rsidRPr="00FD45C7" w:rsidRDefault="00660648" w:rsidP="007F54A2">
      <w:pPr>
        <w:jc w:val="both"/>
        <w:rPr>
          <w:sz w:val="28"/>
          <w:szCs w:val="28"/>
        </w:rPr>
      </w:pPr>
      <w:hyperlink r:id="rId11" w:history="1">
        <w:r w:rsidRPr="00DF625E">
          <w:rPr>
            <w:rStyle w:val="Hyperlink"/>
            <w:sz w:val="28"/>
            <w:szCs w:val="28"/>
          </w:rPr>
          <w:t>aea@courts.az.gov</w:t>
        </w:r>
      </w:hyperlink>
      <w:r>
        <w:rPr>
          <w:sz w:val="28"/>
          <w:szCs w:val="28"/>
        </w:rPr>
        <w:t xml:space="preserve"> </w:t>
      </w:r>
    </w:p>
    <w:p w14:paraId="7E80F0FD" w14:textId="77777777" w:rsidR="002508B4" w:rsidRDefault="002508B4" w:rsidP="007F54A2">
      <w:pPr>
        <w:jc w:val="both"/>
        <w:rPr>
          <w:sz w:val="28"/>
          <w:szCs w:val="28"/>
        </w:rPr>
      </w:pPr>
    </w:p>
    <w:p w14:paraId="33AA04AF" w14:textId="77777777" w:rsidR="002508B4" w:rsidRPr="00FD45C7" w:rsidRDefault="002508B4" w:rsidP="007F54A2">
      <w:pPr>
        <w:jc w:val="both"/>
        <w:rPr>
          <w:sz w:val="28"/>
          <w:szCs w:val="28"/>
        </w:rPr>
      </w:pPr>
    </w:p>
    <w:p w14:paraId="1C828146" w14:textId="77777777" w:rsidR="002508B4" w:rsidRPr="00FD45C7" w:rsidRDefault="000C12C9" w:rsidP="007F54A2">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14:paraId="55A609C9" w14:textId="77777777" w:rsidR="002508B4" w:rsidRDefault="000C12C9" w:rsidP="007F54A2">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14:paraId="5DD23611" w14:textId="77777777" w:rsidR="002508B4" w:rsidRDefault="002508B4" w:rsidP="007F54A2">
      <w:pPr>
        <w:jc w:val="both"/>
      </w:pPr>
    </w:p>
    <w:p w14:paraId="6471000B" w14:textId="77777777" w:rsidR="004D037C" w:rsidRPr="00FF09E1" w:rsidRDefault="004D037C" w:rsidP="007F54A2">
      <w:pPr>
        <w:jc w:val="both"/>
      </w:pPr>
    </w:p>
    <w:p w14:paraId="5E1B85FA" w14:textId="12C9B126" w:rsidR="002508B4" w:rsidRPr="00FD45C7" w:rsidRDefault="000C12C9" w:rsidP="7FCE03F9">
      <w:pPr>
        <w:tabs>
          <w:tab w:val="left" w:pos="4320"/>
        </w:tabs>
        <w:jc w:val="both"/>
        <w:rPr>
          <w:sz w:val="28"/>
          <w:szCs w:val="28"/>
        </w:rPr>
      </w:pPr>
      <w:r>
        <w:rPr>
          <w:sz w:val="28"/>
          <w:szCs w:val="28"/>
        </w:rPr>
        <w:t xml:space="preserve">                                                            </w:t>
      </w:r>
      <w:r w:rsidR="003B267C">
        <w:rPr>
          <w:sz w:val="28"/>
          <w:szCs w:val="28"/>
        </w:rPr>
        <w:t xml:space="preserve">  </w:t>
      </w:r>
      <w:r w:rsidR="004D037C">
        <w:rPr>
          <w:sz w:val="28"/>
          <w:szCs w:val="28"/>
        </w:rPr>
        <w:t>)</w:t>
      </w:r>
    </w:p>
    <w:p w14:paraId="60EFBBCF" w14:textId="765363AA" w:rsidR="002508B4" w:rsidRPr="004D037C" w:rsidRDefault="000C12C9" w:rsidP="00AD34E3">
      <w:pPr>
        <w:widowControl w:val="0"/>
        <w:tabs>
          <w:tab w:val="left" w:pos="4320"/>
        </w:tabs>
        <w:autoSpaceDE w:val="0"/>
        <w:autoSpaceDN w:val="0"/>
        <w:adjustRightInd w:val="0"/>
        <w:jc w:val="both"/>
        <w:rPr>
          <w:color w:val="000000"/>
          <w:sz w:val="28"/>
          <w:szCs w:val="28"/>
        </w:rPr>
      </w:pPr>
      <w:r w:rsidRPr="004D037C">
        <w:rPr>
          <w:color w:val="000000"/>
          <w:sz w:val="28"/>
          <w:szCs w:val="28"/>
        </w:rPr>
        <w:t xml:space="preserve">In the Matter of    </w:t>
      </w:r>
      <w:r w:rsidR="003B267C">
        <w:rPr>
          <w:color w:val="000000"/>
          <w:sz w:val="28"/>
          <w:szCs w:val="28"/>
        </w:rPr>
        <w:t xml:space="preserve">                              </w:t>
      </w:r>
      <w:r w:rsidR="00AD34E3">
        <w:rPr>
          <w:color w:val="000000"/>
          <w:sz w:val="28"/>
          <w:szCs w:val="28"/>
        </w:rPr>
        <w:tab/>
      </w:r>
      <w:r w:rsidR="003B267C">
        <w:rPr>
          <w:color w:val="000000"/>
          <w:sz w:val="28"/>
          <w:szCs w:val="28"/>
        </w:rPr>
        <w:t>)</w:t>
      </w:r>
      <w:r w:rsidRPr="004D037C">
        <w:rPr>
          <w:color w:val="000000"/>
          <w:sz w:val="28"/>
          <w:szCs w:val="28"/>
        </w:rPr>
        <w:t xml:space="preserve">   </w:t>
      </w:r>
    </w:p>
    <w:p w14:paraId="6804D4EE" w14:textId="4F9CF4F6" w:rsidR="002508B4" w:rsidRPr="004D037C" w:rsidRDefault="000C12C9" w:rsidP="00AD34E3">
      <w:pPr>
        <w:widowControl w:val="0"/>
        <w:tabs>
          <w:tab w:val="left" w:pos="4320"/>
        </w:tabs>
        <w:autoSpaceDE w:val="0"/>
        <w:autoSpaceDN w:val="0"/>
        <w:adjustRightInd w:val="0"/>
        <w:jc w:val="both"/>
        <w:rPr>
          <w:sz w:val="28"/>
          <w:szCs w:val="28"/>
        </w:rPr>
      </w:pPr>
      <w:r w:rsidRPr="004D037C">
        <w:rPr>
          <w:color w:val="000000"/>
          <w:sz w:val="28"/>
          <w:szCs w:val="28"/>
        </w:rPr>
        <w:t xml:space="preserve">                                                             </w:t>
      </w:r>
      <w:r w:rsidR="00AD34E3">
        <w:rPr>
          <w:color w:val="000000"/>
          <w:sz w:val="28"/>
          <w:szCs w:val="28"/>
        </w:rPr>
        <w:tab/>
      </w:r>
      <w:r w:rsidRPr="004D037C">
        <w:rPr>
          <w:color w:val="000000"/>
          <w:sz w:val="28"/>
          <w:szCs w:val="28"/>
        </w:rPr>
        <w:t xml:space="preserve">)  </w:t>
      </w:r>
      <w:r w:rsidR="1868EC68" w:rsidRPr="004D037C">
        <w:rPr>
          <w:color w:val="000000"/>
          <w:sz w:val="28"/>
          <w:szCs w:val="28"/>
        </w:rPr>
        <w:t xml:space="preserve"> </w:t>
      </w:r>
      <w:r w:rsidR="00AD34E3">
        <w:rPr>
          <w:color w:val="000000"/>
          <w:sz w:val="28"/>
          <w:szCs w:val="28"/>
        </w:rPr>
        <w:tab/>
      </w:r>
      <w:r w:rsidRPr="004D037C">
        <w:rPr>
          <w:color w:val="000000"/>
          <w:sz w:val="28"/>
          <w:szCs w:val="28"/>
        </w:rPr>
        <w:t>Supreme Court No. R-</w:t>
      </w:r>
      <w:r w:rsidR="00660648">
        <w:rPr>
          <w:color w:val="000000"/>
          <w:sz w:val="28"/>
          <w:szCs w:val="28"/>
        </w:rPr>
        <w:t>__</w:t>
      </w:r>
      <w:bookmarkStart w:id="0" w:name="_GoBack"/>
      <w:bookmarkEnd w:id="0"/>
      <w:r w:rsidR="00AD34E3">
        <w:rPr>
          <w:color w:val="000000"/>
          <w:sz w:val="28"/>
          <w:szCs w:val="28"/>
        </w:rPr>
        <w:t xml:space="preserve"> </w:t>
      </w:r>
      <w:r w:rsidRPr="004D037C">
        <w:rPr>
          <w:color w:val="000000"/>
          <w:sz w:val="28"/>
          <w:szCs w:val="28"/>
        </w:rPr>
        <w:t>-</w:t>
      </w:r>
      <w:r w:rsidR="00AD34E3">
        <w:rPr>
          <w:color w:val="000000"/>
          <w:sz w:val="28"/>
          <w:szCs w:val="28"/>
        </w:rPr>
        <w:t xml:space="preserve"> </w:t>
      </w:r>
      <w:r w:rsidRPr="004D037C">
        <w:rPr>
          <w:color w:val="000000"/>
          <w:sz w:val="28"/>
          <w:szCs w:val="28"/>
        </w:rPr>
        <w:t>___</w:t>
      </w:r>
    </w:p>
    <w:p w14:paraId="1C699B69" w14:textId="6EE2A89D" w:rsidR="002508B4" w:rsidRPr="004D037C" w:rsidRDefault="000C12C9" w:rsidP="00AD34E3">
      <w:pPr>
        <w:widowControl w:val="0"/>
        <w:tabs>
          <w:tab w:val="left" w:pos="4320"/>
        </w:tabs>
        <w:autoSpaceDE w:val="0"/>
        <w:autoSpaceDN w:val="0"/>
        <w:adjustRightInd w:val="0"/>
        <w:jc w:val="both"/>
        <w:rPr>
          <w:sz w:val="28"/>
          <w:szCs w:val="28"/>
        </w:rPr>
      </w:pPr>
      <w:r w:rsidRPr="004D037C">
        <w:rPr>
          <w:color w:val="000000"/>
          <w:sz w:val="28"/>
          <w:szCs w:val="28"/>
        </w:rPr>
        <w:t>PETITION TO AMEND</w:t>
      </w:r>
      <w:r w:rsidR="007711EC" w:rsidRPr="004D037C">
        <w:rPr>
          <w:color w:val="000000"/>
          <w:sz w:val="28"/>
          <w:szCs w:val="28"/>
        </w:rPr>
        <w:tab/>
      </w:r>
      <w:r w:rsidRPr="004D037C">
        <w:rPr>
          <w:color w:val="000000"/>
          <w:sz w:val="28"/>
          <w:szCs w:val="28"/>
        </w:rPr>
        <w:t xml:space="preserve">)                      </w:t>
      </w:r>
    </w:p>
    <w:p w14:paraId="18E7E474" w14:textId="462E96E9" w:rsidR="004D037C" w:rsidRPr="00B73DA5" w:rsidRDefault="000C12C9" w:rsidP="00AD34E3">
      <w:pPr>
        <w:widowControl w:val="0"/>
        <w:tabs>
          <w:tab w:val="left" w:pos="4320"/>
        </w:tabs>
        <w:autoSpaceDE w:val="0"/>
        <w:autoSpaceDN w:val="0"/>
        <w:adjustRightInd w:val="0"/>
        <w:jc w:val="both"/>
        <w:rPr>
          <w:sz w:val="28"/>
          <w:szCs w:val="28"/>
        </w:rPr>
      </w:pPr>
      <w:r w:rsidRPr="004D037C">
        <w:rPr>
          <w:color w:val="000000"/>
          <w:sz w:val="28"/>
          <w:szCs w:val="28"/>
        </w:rPr>
        <w:t>RULE</w:t>
      </w:r>
      <w:r w:rsidR="000C36E8" w:rsidRPr="004D037C">
        <w:rPr>
          <w:color w:val="000000"/>
          <w:sz w:val="28"/>
          <w:szCs w:val="28"/>
        </w:rPr>
        <w:t xml:space="preserve"> </w:t>
      </w:r>
      <w:r w:rsidRPr="004D037C">
        <w:rPr>
          <w:sz w:val="28"/>
          <w:szCs w:val="28"/>
        </w:rPr>
        <w:t>42</w:t>
      </w:r>
      <w:r>
        <w:rPr>
          <w:sz w:val="28"/>
          <w:szCs w:val="28"/>
        </w:rPr>
        <w:t xml:space="preserve"> (ER 1.</w:t>
      </w:r>
      <w:r w:rsidR="00B73DA5">
        <w:rPr>
          <w:sz w:val="28"/>
          <w:szCs w:val="28"/>
        </w:rPr>
        <w:t>2</w:t>
      </w:r>
      <w:r>
        <w:rPr>
          <w:sz w:val="28"/>
          <w:szCs w:val="28"/>
        </w:rPr>
        <w:t>)</w:t>
      </w:r>
      <w:r w:rsidRPr="004D037C">
        <w:rPr>
          <w:sz w:val="28"/>
          <w:szCs w:val="28"/>
        </w:rPr>
        <w:t>,</w:t>
      </w:r>
      <w:r w:rsidRPr="004D037C">
        <w:rPr>
          <w:color w:val="000000"/>
          <w:sz w:val="28"/>
          <w:szCs w:val="28"/>
        </w:rPr>
        <w:t xml:space="preserve"> ARIZ. R</w:t>
      </w:r>
      <w:r>
        <w:rPr>
          <w:color w:val="000000"/>
          <w:sz w:val="28"/>
          <w:szCs w:val="28"/>
        </w:rPr>
        <w:t>.</w:t>
      </w:r>
      <w:r w:rsidR="31FCBD16">
        <w:rPr>
          <w:color w:val="000000"/>
          <w:sz w:val="28"/>
          <w:szCs w:val="28"/>
        </w:rPr>
        <w:t xml:space="preserve">              </w:t>
      </w:r>
      <w:r w:rsidR="00AD34E3">
        <w:rPr>
          <w:color w:val="000000"/>
          <w:sz w:val="28"/>
          <w:szCs w:val="28"/>
        </w:rPr>
        <w:tab/>
      </w:r>
      <w:r>
        <w:rPr>
          <w:color w:val="000000"/>
          <w:sz w:val="28"/>
          <w:szCs w:val="28"/>
        </w:rPr>
        <w:t>)</w:t>
      </w:r>
    </w:p>
    <w:p w14:paraId="1333F0D0" w14:textId="0E1CF856" w:rsidR="00B73DA5" w:rsidRPr="004D037C" w:rsidRDefault="000C12C9" w:rsidP="00B73DA5">
      <w:pPr>
        <w:widowControl w:val="0"/>
        <w:tabs>
          <w:tab w:val="left" w:pos="4320"/>
        </w:tabs>
        <w:autoSpaceDE w:val="0"/>
        <w:autoSpaceDN w:val="0"/>
        <w:adjustRightInd w:val="0"/>
        <w:jc w:val="both"/>
        <w:rPr>
          <w:color w:val="000000"/>
          <w:sz w:val="28"/>
          <w:szCs w:val="28"/>
        </w:rPr>
      </w:pPr>
      <w:r w:rsidRPr="7FCE03F9">
        <w:rPr>
          <w:color w:val="000000" w:themeColor="text1"/>
          <w:sz w:val="28"/>
          <w:szCs w:val="28"/>
        </w:rPr>
        <w:t>SUP. CT.</w:t>
      </w:r>
      <w:r w:rsidR="347DC40A" w:rsidRPr="7FCE03F9">
        <w:rPr>
          <w:color w:val="000000" w:themeColor="text1"/>
          <w:sz w:val="28"/>
          <w:szCs w:val="28"/>
        </w:rPr>
        <w:t xml:space="preserve">               </w:t>
      </w:r>
      <w:r w:rsidR="003B267C">
        <w:rPr>
          <w:color w:val="000000" w:themeColor="text1"/>
          <w:sz w:val="28"/>
          <w:szCs w:val="28"/>
        </w:rPr>
        <w:t xml:space="preserve">                               )</w:t>
      </w:r>
    </w:p>
    <w:p w14:paraId="4AAA17A8" w14:textId="448945DE" w:rsidR="004D037C" w:rsidRPr="004D037C" w:rsidRDefault="000C12C9" w:rsidP="00AD34E3">
      <w:pPr>
        <w:widowControl w:val="0"/>
        <w:tabs>
          <w:tab w:val="left" w:pos="4320"/>
        </w:tabs>
        <w:autoSpaceDE w:val="0"/>
        <w:autoSpaceDN w:val="0"/>
        <w:adjustRightInd w:val="0"/>
        <w:jc w:val="both"/>
        <w:rPr>
          <w:sz w:val="28"/>
          <w:szCs w:val="28"/>
        </w:rPr>
      </w:pPr>
      <w:r>
        <w:rPr>
          <w:color w:val="000000"/>
          <w:sz w:val="28"/>
          <w:szCs w:val="28"/>
        </w:rPr>
        <w:t xml:space="preserve">                                                              )</w:t>
      </w:r>
    </w:p>
    <w:p w14:paraId="7A5A556E" w14:textId="77777777" w:rsidR="002508B4" w:rsidRPr="004D037C" w:rsidRDefault="000C12C9" w:rsidP="003B267C">
      <w:pPr>
        <w:tabs>
          <w:tab w:val="left" w:pos="4230"/>
        </w:tabs>
        <w:jc w:val="both"/>
        <w:rPr>
          <w:color w:val="000000"/>
          <w:sz w:val="28"/>
          <w:szCs w:val="28"/>
        </w:rPr>
      </w:pPr>
      <w:r w:rsidRPr="004D037C">
        <w:rPr>
          <w:color w:val="000000"/>
          <w:sz w:val="28"/>
          <w:szCs w:val="28"/>
        </w:rPr>
        <w:t>______________________________</w:t>
      </w:r>
      <w:r w:rsidR="00AD34E3">
        <w:rPr>
          <w:color w:val="000000"/>
          <w:sz w:val="28"/>
          <w:szCs w:val="28"/>
        </w:rPr>
        <w:t>_</w:t>
      </w:r>
      <w:r w:rsidRPr="004D037C">
        <w:rPr>
          <w:color w:val="000000"/>
          <w:sz w:val="28"/>
          <w:szCs w:val="28"/>
        </w:rPr>
        <w:t>)</w:t>
      </w:r>
      <w:r w:rsidR="00AD34E3">
        <w:rPr>
          <w:color w:val="000000"/>
          <w:sz w:val="28"/>
          <w:szCs w:val="28"/>
        </w:rPr>
        <w:tab/>
      </w:r>
      <w:r w:rsidRPr="004D037C">
        <w:rPr>
          <w:color w:val="000000"/>
          <w:sz w:val="28"/>
          <w:szCs w:val="28"/>
        </w:rPr>
        <w:t xml:space="preserve">         </w:t>
      </w:r>
    </w:p>
    <w:p w14:paraId="768C4F26" w14:textId="77777777" w:rsidR="002508B4" w:rsidRPr="00DB3840" w:rsidRDefault="002508B4" w:rsidP="007F54A2">
      <w:pPr>
        <w:jc w:val="both"/>
        <w:rPr>
          <w:sz w:val="28"/>
          <w:szCs w:val="28"/>
        </w:rPr>
      </w:pPr>
    </w:p>
    <w:p w14:paraId="201ECE08" w14:textId="2F679971" w:rsidR="0029590E" w:rsidRPr="00DB3840" w:rsidRDefault="000C12C9" w:rsidP="00B22480">
      <w:pPr>
        <w:pStyle w:val="BodyText"/>
        <w:tabs>
          <w:tab w:val="left" w:pos="711"/>
        </w:tabs>
        <w:spacing w:line="480" w:lineRule="auto"/>
        <w:jc w:val="both"/>
        <w:rPr>
          <w:szCs w:val="28"/>
        </w:rPr>
      </w:pPr>
      <w:r w:rsidRPr="00DB3840">
        <w:rPr>
          <w:szCs w:val="28"/>
        </w:rPr>
        <w:tab/>
      </w:r>
      <w:r w:rsidR="00C009D2">
        <w:rPr>
          <w:szCs w:val="28"/>
        </w:rPr>
        <w:t>According to</w:t>
      </w:r>
      <w:r w:rsidR="002508B4" w:rsidRPr="004D037C">
        <w:rPr>
          <w:szCs w:val="28"/>
        </w:rPr>
        <w:t xml:space="preserve"> Rule</w:t>
      </w:r>
      <w:r w:rsidR="004278A4">
        <w:rPr>
          <w:szCs w:val="28"/>
        </w:rPr>
        <w:t>s</w:t>
      </w:r>
      <w:r w:rsidR="002508B4" w:rsidRPr="004D037C">
        <w:rPr>
          <w:szCs w:val="28"/>
        </w:rPr>
        <w:t xml:space="preserve"> 28</w:t>
      </w:r>
      <w:r w:rsidR="004278A4">
        <w:rPr>
          <w:szCs w:val="28"/>
        </w:rPr>
        <w:t xml:space="preserve"> and </w:t>
      </w:r>
      <w:r w:rsidR="004410B3">
        <w:rPr>
          <w:szCs w:val="28"/>
        </w:rPr>
        <w:t>42.1(b)(2)</w:t>
      </w:r>
      <w:r w:rsidR="002508B4" w:rsidRPr="004D037C">
        <w:rPr>
          <w:szCs w:val="28"/>
        </w:rPr>
        <w:t xml:space="preserve">, </w:t>
      </w:r>
      <w:r w:rsidR="00464C4C" w:rsidRPr="004D037C">
        <w:rPr>
          <w:szCs w:val="28"/>
        </w:rPr>
        <w:t>Ariz. R. Sup. Ct.</w:t>
      </w:r>
      <w:r w:rsidR="002508B4" w:rsidRPr="004D037C">
        <w:rPr>
          <w:szCs w:val="28"/>
        </w:rPr>
        <w:t xml:space="preserve">, the </w:t>
      </w:r>
      <w:r w:rsidR="00FD3174">
        <w:rPr>
          <w:szCs w:val="28"/>
        </w:rPr>
        <w:t>Petitioner</w:t>
      </w:r>
      <w:r w:rsidR="00B63B3B">
        <w:rPr>
          <w:szCs w:val="28"/>
        </w:rPr>
        <w:t xml:space="preserve">, </w:t>
      </w:r>
      <w:r w:rsidR="00B63B3B" w:rsidRPr="00B63B3B">
        <w:rPr>
          <w:szCs w:val="28"/>
        </w:rPr>
        <w:t>the Ethics Advisory Committee</w:t>
      </w:r>
      <w:r w:rsidR="00835357">
        <w:rPr>
          <w:szCs w:val="28"/>
        </w:rPr>
        <w:t xml:space="preserve"> (the “Committee”)</w:t>
      </w:r>
      <w:r w:rsidR="00B63B3B">
        <w:rPr>
          <w:szCs w:val="28"/>
        </w:rPr>
        <w:t>,</w:t>
      </w:r>
      <w:r w:rsidR="00FD3174">
        <w:rPr>
          <w:szCs w:val="28"/>
        </w:rPr>
        <w:t xml:space="preserve"> </w:t>
      </w:r>
      <w:r w:rsidR="002508B4" w:rsidRPr="004D037C">
        <w:rPr>
          <w:szCs w:val="28"/>
        </w:rPr>
        <w:t>petitions the Court to</w:t>
      </w:r>
      <w:r w:rsidR="00745137">
        <w:rPr>
          <w:szCs w:val="28"/>
        </w:rPr>
        <w:t xml:space="preserve"> adopt</w:t>
      </w:r>
      <w:r w:rsidR="002508B4" w:rsidRPr="004D037C">
        <w:rPr>
          <w:szCs w:val="28"/>
        </w:rPr>
        <w:t xml:space="preserve"> </w:t>
      </w:r>
      <w:r w:rsidR="00835357">
        <w:rPr>
          <w:szCs w:val="28"/>
        </w:rPr>
        <w:t xml:space="preserve">an </w:t>
      </w:r>
      <w:r w:rsidR="002508B4" w:rsidRPr="004D037C">
        <w:rPr>
          <w:szCs w:val="28"/>
        </w:rPr>
        <w:t>amend</w:t>
      </w:r>
      <w:r w:rsidR="00745137">
        <w:rPr>
          <w:szCs w:val="28"/>
        </w:rPr>
        <w:t>men</w:t>
      </w:r>
      <w:r w:rsidR="00835357">
        <w:rPr>
          <w:szCs w:val="28"/>
        </w:rPr>
        <w:t>t</w:t>
      </w:r>
      <w:r w:rsidR="00E965D2">
        <w:rPr>
          <w:szCs w:val="28"/>
        </w:rPr>
        <w:t xml:space="preserve"> to</w:t>
      </w:r>
      <w:r w:rsidR="002508B4" w:rsidRPr="004D037C">
        <w:rPr>
          <w:szCs w:val="28"/>
        </w:rPr>
        <w:t xml:space="preserve"> </w:t>
      </w:r>
      <w:r w:rsidR="0085435A">
        <w:rPr>
          <w:szCs w:val="28"/>
        </w:rPr>
        <w:t xml:space="preserve">Arizona </w:t>
      </w:r>
      <w:r w:rsidR="00EC54A9" w:rsidRPr="004D037C">
        <w:rPr>
          <w:szCs w:val="28"/>
        </w:rPr>
        <w:t xml:space="preserve">Rule </w:t>
      </w:r>
      <w:r w:rsidR="0085435A">
        <w:rPr>
          <w:szCs w:val="28"/>
        </w:rPr>
        <w:t xml:space="preserve">Supreme Court </w:t>
      </w:r>
      <w:r w:rsidR="00B63B3B">
        <w:rPr>
          <w:szCs w:val="28"/>
        </w:rPr>
        <w:t>42</w:t>
      </w:r>
      <w:r w:rsidR="00083BD8">
        <w:rPr>
          <w:szCs w:val="28"/>
        </w:rPr>
        <w:t xml:space="preserve"> (ER 1.2)</w:t>
      </w:r>
      <w:r w:rsidR="0085435A">
        <w:rPr>
          <w:szCs w:val="28"/>
        </w:rPr>
        <w:t>,</w:t>
      </w:r>
      <w:r w:rsidR="00A533FE">
        <w:rPr>
          <w:szCs w:val="28"/>
        </w:rPr>
        <w:t xml:space="preserve"> </w:t>
      </w:r>
      <w:r w:rsidR="00BD6253">
        <w:rPr>
          <w:szCs w:val="28"/>
        </w:rPr>
        <w:t>which prohibits</w:t>
      </w:r>
      <w:r w:rsidR="002B7E1F">
        <w:rPr>
          <w:szCs w:val="28"/>
        </w:rPr>
        <w:t xml:space="preserve"> a lawyer</w:t>
      </w:r>
      <w:r w:rsidR="00BD6253">
        <w:rPr>
          <w:szCs w:val="28"/>
        </w:rPr>
        <w:t xml:space="preserve"> from </w:t>
      </w:r>
      <w:r w:rsidR="00960E24">
        <w:rPr>
          <w:szCs w:val="28"/>
        </w:rPr>
        <w:t>counseling</w:t>
      </w:r>
      <w:r w:rsidR="00BD6253">
        <w:rPr>
          <w:szCs w:val="28"/>
        </w:rPr>
        <w:t xml:space="preserve"> or assisting a client in illegal conduct</w:t>
      </w:r>
      <w:r w:rsidR="00960E24">
        <w:rPr>
          <w:szCs w:val="28"/>
        </w:rPr>
        <w:t>.</w:t>
      </w:r>
    </w:p>
    <w:p w14:paraId="79A4EBFA" w14:textId="34764803" w:rsidR="00321F15" w:rsidRDefault="000C12C9" w:rsidP="00B22480">
      <w:pPr>
        <w:pStyle w:val="BodyText"/>
        <w:numPr>
          <w:ilvl w:val="0"/>
          <w:numId w:val="1"/>
        </w:numPr>
        <w:tabs>
          <w:tab w:val="left" w:pos="720"/>
        </w:tabs>
        <w:spacing w:line="480" w:lineRule="auto"/>
        <w:ind w:left="720"/>
        <w:jc w:val="both"/>
        <w:rPr>
          <w:b/>
          <w:bCs/>
          <w:szCs w:val="28"/>
        </w:rPr>
      </w:pPr>
      <w:r w:rsidRPr="00B71ADB">
        <w:rPr>
          <w:b/>
          <w:bCs/>
          <w:szCs w:val="28"/>
        </w:rPr>
        <w:t>Background</w:t>
      </w:r>
    </w:p>
    <w:p w14:paraId="23C1BA61" w14:textId="308E8226" w:rsidR="00071821" w:rsidRDefault="000C12C9" w:rsidP="00EC0101">
      <w:pPr>
        <w:pStyle w:val="BodyText"/>
        <w:spacing w:line="480" w:lineRule="auto"/>
        <w:ind w:firstLine="720"/>
        <w:jc w:val="both"/>
        <w:rPr>
          <w:szCs w:val="28"/>
        </w:rPr>
      </w:pPr>
      <w:r>
        <w:rPr>
          <w:szCs w:val="28"/>
        </w:rPr>
        <w:t>The Committee re</w:t>
      </w:r>
      <w:r w:rsidR="006C6152">
        <w:rPr>
          <w:szCs w:val="28"/>
        </w:rPr>
        <w:t xml:space="preserve">ceived a request to revisit </w:t>
      </w:r>
      <w:r w:rsidR="00BA3128" w:rsidRPr="00B22480">
        <w:rPr>
          <w:szCs w:val="28"/>
        </w:rPr>
        <w:t>Arizona Ethics Opinion 11</w:t>
      </w:r>
      <w:r w:rsidR="00BA3128">
        <w:rPr>
          <w:szCs w:val="28"/>
        </w:rPr>
        <w:noBreakHyphen/>
      </w:r>
      <w:r w:rsidR="00BA3128" w:rsidRPr="00B22480">
        <w:rPr>
          <w:szCs w:val="28"/>
        </w:rPr>
        <w:t>01</w:t>
      </w:r>
      <w:r w:rsidR="00BA3128">
        <w:rPr>
          <w:szCs w:val="28"/>
        </w:rPr>
        <w:t xml:space="preserve"> </w:t>
      </w:r>
      <w:r w:rsidR="00BA3128" w:rsidRPr="00B22480">
        <w:rPr>
          <w:szCs w:val="28"/>
        </w:rPr>
        <w:t>(2/2011) (the “Opinion”)</w:t>
      </w:r>
      <w:r w:rsidR="00BA3128">
        <w:rPr>
          <w:szCs w:val="28"/>
        </w:rPr>
        <w:t xml:space="preserve">, issued by </w:t>
      </w:r>
      <w:r w:rsidR="00BA3128" w:rsidRPr="00B22480">
        <w:rPr>
          <w:szCs w:val="28"/>
        </w:rPr>
        <w:t>the State Bar of Arizona Rules of Professional Conduct Committee (“Former Committee”)</w:t>
      </w:r>
      <w:r w:rsidR="00A109A2">
        <w:rPr>
          <w:szCs w:val="28"/>
        </w:rPr>
        <w:t>.</w:t>
      </w:r>
      <w:r w:rsidR="009C7CAF">
        <w:rPr>
          <w:szCs w:val="28"/>
        </w:rPr>
        <w:t xml:space="preserve"> </w:t>
      </w:r>
      <w:r w:rsidR="00A109A2">
        <w:rPr>
          <w:szCs w:val="28"/>
        </w:rPr>
        <w:t xml:space="preserve">(See request, EO 20-0004, attached.) The Opinion was issued </w:t>
      </w:r>
      <w:r w:rsidR="00B22480" w:rsidRPr="00B22480">
        <w:rPr>
          <w:szCs w:val="28"/>
        </w:rPr>
        <w:t xml:space="preserve">after Arizona voters passed the </w:t>
      </w:r>
      <w:r w:rsidR="00102EA8" w:rsidRPr="00B22480">
        <w:rPr>
          <w:szCs w:val="28"/>
        </w:rPr>
        <w:t>Arizona Medical Marijuana Act (“AMMA”), A.R.S. §</w:t>
      </w:r>
      <w:r w:rsidR="00A109A2">
        <w:rPr>
          <w:szCs w:val="28"/>
        </w:rPr>
        <w:t> </w:t>
      </w:r>
      <w:r w:rsidR="00102EA8" w:rsidRPr="00B22480">
        <w:rPr>
          <w:szCs w:val="28"/>
        </w:rPr>
        <w:t>36</w:t>
      </w:r>
      <w:r w:rsidR="00A109A2">
        <w:rPr>
          <w:szCs w:val="28"/>
        </w:rPr>
        <w:noBreakHyphen/>
      </w:r>
      <w:r w:rsidR="00102EA8" w:rsidRPr="00B22480">
        <w:rPr>
          <w:szCs w:val="28"/>
        </w:rPr>
        <w:t xml:space="preserve">2801, </w:t>
      </w:r>
      <w:r w:rsidR="00102EA8" w:rsidRPr="00302631">
        <w:rPr>
          <w:i/>
          <w:iCs/>
          <w:szCs w:val="28"/>
        </w:rPr>
        <w:t>et seq.</w:t>
      </w:r>
      <w:r w:rsidR="001E60C0">
        <w:rPr>
          <w:szCs w:val="28"/>
        </w:rPr>
        <w:t xml:space="preserve">, which provides limited immunity </w:t>
      </w:r>
      <w:r w:rsidR="00DC2946">
        <w:rPr>
          <w:szCs w:val="28"/>
        </w:rPr>
        <w:t xml:space="preserve">from </w:t>
      </w:r>
      <w:r w:rsidR="00DC2946">
        <w:rPr>
          <w:szCs w:val="28"/>
        </w:rPr>
        <w:lastRenderedPageBreak/>
        <w:t>prosecution</w:t>
      </w:r>
      <w:r w:rsidR="00670FF2">
        <w:rPr>
          <w:szCs w:val="28"/>
        </w:rPr>
        <w:t xml:space="preserve"> under state law</w:t>
      </w:r>
      <w:r w:rsidR="00DC2946">
        <w:rPr>
          <w:szCs w:val="28"/>
        </w:rPr>
        <w:t xml:space="preserve"> </w:t>
      </w:r>
      <w:r w:rsidR="001B35E3">
        <w:rPr>
          <w:szCs w:val="28"/>
        </w:rPr>
        <w:t xml:space="preserve">for various </w:t>
      </w:r>
      <w:r w:rsidR="00C009D2">
        <w:rPr>
          <w:szCs w:val="28"/>
        </w:rPr>
        <w:t>marijuana-related</w:t>
      </w:r>
      <w:r w:rsidR="001B35E3">
        <w:rPr>
          <w:szCs w:val="28"/>
        </w:rPr>
        <w:t xml:space="preserve"> offenses</w:t>
      </w:r>
      <w:r w:rsidR="00670FF2">
        <w:rPr>
          <w:szCs w:val="28"/>
        </w:rPr>
        <w:t>.</w:t>
      </w:r>
      <w:r w:rsidR="00D7673C">
        <w:rPr>
          <w:szCs w:val="28"/>
        </w:rPr>
        <w:t xml:space="preserve"> </w:t>
      </w:r>
      <w:r w:rsidR="00916739">
        <w:rPr>
          <w:szCs w:val="28"/>
        </w:rPr>
        <w:t>T</w:t>
      </w:r>
      <w:r w:rsidR="00D7673C">
        <w:rPr>
          <w:szCs w:val="28"/>
        </w:rPr>
        <w:t xml:space="preserve">o </w:t>
      </w:r>
      <w:r w:rsidR="000C53C4">
        <w:rPr>
          <w:szCs w:val="28"/>
        </w:rPr>
        <w:t xml:space="preserve">enjoy immunity, </w:t>
      </w:r>
      <w:r w:rsidR="00F06986">
        <w:rPr>
          <w:szCs w:val="28"/>
        </w:rPr>
        <w:t xml:space="preserve">medical marijuana </w:t>
      </w:r>
      <w:r w:rsidR="000C53C4">
        <w:rPr>
          <w:szCs w:val="28"/>
        </w:rPr>
        <w:t>dispensaries mus</w:t>
      </w:r>
      <w:r w:rsidR="00F06986">
        <w:rPr>
          <w:szCs w:val="28"/>
        </w:rPr>
        <w:t xml:space="preserve">t </w:t>
      </w:r>
      <w:r w:rsidR="00916739">
        <w:rPr>
          <w:szCs w:val="28"/>
        </w:rPr>
        <w:t xml:space="preserve">comply with </w:t>
      </w:r>
      <w:r w:rsidR="00D7673C">
        <w:rPr>
          <w:szCs w:val="28"/>
        </w:rPr>
        <w:t xml:space="preserve">numerous </w:t>
      </w:r>
      <w:r w:rsidR="000C4B28">
        <w:rPr>
          <w:szCs w:val="28"/>
        </w:rPr>
        <w:t>statutes and regulations</w:t>
      </w:r>
      <w:r w:rsidR="00BD7718">
        <w:rPr>
          <w:szCs w:val="28"/>
        </w:rPr>
        <w:t>.</w:t>
      </w:r>
      <w:r w:rsidR="005526D9">
        <w:rPr>
          <w:szCs w:val="28"/>
        </w:rPr>
        <w:t xml:space="preserve"> </w:t>
      </w:r>
      <w:r w:rsidR="005F3DC9">
        <w:rPr>
          <w:szCs w:val="28"/>
        </w:rPr>
        <w:t xml:space="preserve">Since the inception of the AMMA, </w:t>
      </w:r>
      <w:r w:rsidR="00B026B9">
        <w:rPr>
          <w:szCs w:val="28"/>
        </w:rPr>
        <w:t xml:space="preserve">Arizona </w:t>
      </w:r>
      <w:r w:rsidR="005F3DC9">
        <w:rPr>
          <w:szCs w:val="28"/>
        </w:rPr>
        <w:t xml:space="preserve">lawyers have </w:t>
      </w:r>
      <w:r w:rsidR="0085435A">
        <w:rPr>
          <w:szCs w:val="28"/>
        </w:rPr>
        <w:t>assisted</w:t>
      </w:r>
      <w:r w:rsidR="005F3DC9">
        <w:rPr>
          <w:szCs w:val="28"/>
        </w:rPr>
        <w:t xml:space="preserve"> clients </w:t>
      </w:r>
      <w:r w:rsidR="00B026B9">
        <w:rPr>
          <w:szCs w:val="28"/>
        </w:rPr>
        <w:t>with compliance.</w:t>
      </w:r>
    </w:p>
    <w:p w14:paraId="72EEEC35" w14:textId="54D418B4" w:rsidR="00A75B77" w:rsidRPr="00BA4987" w:rsidRDefault="000C12C9" w:rsidP="00642AF5">
      <w:pPr>
        <w:pStyle w:val="BodyText"/>
        <w:spacing w:line="480" w:lineRule="auto"/>
        <w:ind w:firstLine="720"/>
        <w:jc w:val="both"/>
        <w:rPr>
          <w:szCs w:val="28"/>
        </w:rPr>
      </w:pPr>
      <w:r>
        <w:rPr>
          <w:szCs w:val="28"/>
        </w:rPr>
        <w:t>ER 1.2(d) states:</w:t>
      </w:r>
    </w:p>
    <w:p w14:paraId="528FD518" w14:textId="71E46EB5" w:rsidR="00A75B77" w:rsidRDefault="000C12C9" w:rsidP="00642AF5">
      <w:pPr>
        <w:pStyle w:val="BodyText"/>
        <w:spacing w:after="240"/>
        <w:ind w:left="1440" w:right="1440"/>
        <w:jc w:val="both"/>
        <w:rPr>
          <w:szCs w:val="28"/>
        </w:rPr>
      </w:pPr>
      <w:r w:rsidRPr="00BA4987">
        <w:rPr>
          <w:szCs w:val="28"/>
        </w:rPr>
        <w:t>A lawyer shall not counsel a client to engage, or assist a client, in conduct that the lawyer knows is criminal or fraudulent, but a lawyer may discuss the legal consequences of any proposed course of conduct with a client and may counsel or assist a client to make a good faith effort to determine the validity, scope, meaning or application of the law</w:t>
      </w:r>
      <w:r w:rsidR="00642AF5">
        <w:rPr>
          <w:szCs w:val="28"/>
        </w:rPr>
        <w:t>.</w:t>
      </w:r>
    </w:p>
    <w:p w14:paraId="2EB56E6E" w14:textId="21A5470B" w:rsidR="008A11B3" w:rsidRDefault="000C12C9" w:rsidP="0085435A">
      <w:pPr>
        <w:pStyle w:val="BodyText"/>
        <w:spacing w:line="480" w:lineRule="auto"/>
        <w:jc w:val="both"/>
        <w:rPr>
          <w:szCs w:val="28"/>
        </w:rPr>
      </w:pPr>
      <w:r>
        <w:rPr>
          <w:szCs w:val="28"/>
        </w:rPr>
        <w:t>The Opinion addresse</w:t>
      </w:r>
      <w:r w:rsidR="00A109A2">
        <w:rPr>
          <w:szCs w:val="28"/>
        </w:rPr>
        <w:t>d</w:t>
      </w:r>
      <w:r w:rsidRPr="00C86EE3">
        <w:rPr>
          <w:szCs w:val="28"/>
        </w:rPr>
        <w:t xml:space="preserve"> </w:t>
      </w:r>
      <w:r w:rsidRPr="00B22480">
        <w:rPr>
          <w:szCs w:val="28"/>
        </w:rPr>
        <w:t>whether a lawyer may ethically advise and assist clients with</w:t>
      </w:r>
      <w:r>
        <w:rPr>
          <w:szCs w:val="28"/>
        </w:rPr>
        <w:t xml:space="preserve"> </w:t>
      </w:r>
      <w:r w:rsidRPr="00B22480">
        <w:rPr>
          <w:szCs w:val="28"/>
        </w:rPr>
        <w:t>matters relating to</w:t>
      </w:r>
      <w:r>
        <w:rPr>
          <w:szCs w:val="28"/>
        </w:rPr>
        <w:t xml:space="preserve"> the AMMA</w:t>
      </w:r>
      <w:r w:rsidRPr="00B22480">
        <w:rPr>
          <w:szCs w:val="28"/>
        </w:rPr>
        <w:t xml:space="preserve"> when </w:t>
      </w:r>
      <w:r w:rsidR="0035189A">
        <w:rPr>
          <w:szCs w:val="28"/>
        </w:rPr>
        <w:t>such</w:t>
      </w:r>
      <w:r w:rsidRPr="00B22480">
        <w:rPr>
          <w:szCs w:val="28"/>
        </w:rPr>
        <w:t xml:space="preserve"> actions violate the federal Controlled Substances Act (“CSA”), 21 U.S.C. § 801, </w:t>
      </w:r>
      <w:r w:rsidRPr="000E2A19">
        <w:rPr>
          <w:i/>
          <w:iCs/>
          <w:szCs w:val="28"/>
        </w:rPr>
        <w:t>et seq.</w:t>
      </w:r>
      <w:r w:rsidRPr="00B22480">
        <w:rPr>
          <w:szCs w:val="28"/>
        </w:rPr>
        <w:t xml:space="preserve"> </w:t>
      </w:r>
      <w:r w:rsidRPr="000E2A19">
        <w:rPr>
          <w:i/>
          <w:iCs/>
          <w:szCs w:val="28"/>
        </w:rPr>
        <w:t>See</w:t>
      </w:r>
      <w:r w:rsidRPr="00B22480">
        <w:rPr>
          <w:szCs w:val="28"/>
        </w:rPr>
        <w:t xml:space="preserve"> 21 U.S.C. § 841(a)(1) (“[I]t shall be unlawful for any person knowingly or intentionally . . . to manufacture, distribute, or dispense, or possess with intent to manufacture, distribute, or dispense, [marijuana] . . . .”)</w:t>
      </w:r>
      <w:r w:rsidR="008774BB">
        <w:rPr>
          <w:szCs w:val="28"/>
        </w:rPr>
        <w:t>.</w:t>
      </w:r>
    </w:p>
    <w:p w14:paraId="0FDC9A77" w14:textId="3ED2546A" w:rsidR="008A11B3" w:rsidRDefault="000C12C9" w:rsidP="009C4548">
      <w:pPr>
        <w:pStyle w:val="BodyText"/>
        <w:spacing w:line="480" w:lineRule="auto"/>
        <w:ind w:firstLine="720"/>
        <w:jc w:val="both"/>
        <w:rPr>
          <w:szCs w:val="28"/>
        </w:rPr>
      </w:pPr>
      <w:r w:rsidRPr="0061728C">
        <w:rPr>
          <w:szCs w:val="28"/>
        </w:rPr>
        <w:t>Although Arizona was the sixteenth jurisdiction to adopt a medical marijuana law,</w:t>
      </w:r>
      <w:r>
        <w:rPr>
          <w:szCs w:val="28"/>
        </w:rPr>
        <w:t xml:space="preserve"> it was only the second to address the issue. </w:t>
      </w:r>
      <w:r w:rsidRPr="0061728C">
        <w:rPr>
          <w:szCs w:val="28"/>
        </w:rPr>
        <w:t xml:space="preserve">Ariz. Op. 11-01; </w:t>
      </w:r>
      <w:r w:rsidRPr="00BD5203">
        <w:rPr>
          <w:i/>
          <w:iCs/>
          <w:szCs w:val="28"/>
        </w:rPr>
        <w:t>see also</w:t>
      </w:r>
      <w:r w:rsidRPr="0061728C">
        <w:rPr>
          <w:szCs w:val="28"/>
        </w:rPr>
        <w:t xml:space="preserve"> Me. Op. 119 (July 7, 2010).</w:t>
      </w:r>
      <w:r w:rsidR="007F30C8">
        <w:rPr>
          <w:szCs w:val="28"/>
        </w:rPr>
        <w:t xml:space="preserve"> </w:t>
      </w:r>
      <w:r>
        <w:rPr>
          <w:szCs w:val="28"/>
        </w:rPr>
        <w:t xml:space="preserve">Maine Op. 119 found that </w:t>
      </w:r>
      <w:r w:rsidRPr="000E6629">
        <w:rPr>
          <w:szCs w:val="28"/>
        </w:rPr>
        <w:t>Rule 1.2(d) “does not make a distinction between crimes which are enforced and those which are not</w:t>
      </w:r>
      <w:r>
        <w:rPr>
          <w:szCs w:val="28"/>
        </w:rPr>
        <w:t>,</w:t>
      </w:r>
      <w:r w:rsidRPr="000E6629">
        <w:rPr>
          <w:szCs w:val="28"/>
        </w:rPr>
        <w:t>”</w:t>
      </w:r>
      <w:r>
        <w:rPr>
          <w:szCs w:val="28"/>
        </w:rPr>
        <w:t xml:space="preserve"> and,</w:t>
      </w:r>
      <w:r w:rsidRPr="000E6629">
        <w:rPr>
          <w:szCs w:val="28"/>
        </w:rPr>
        <w:t xml:space="preserve"> </w:t>
      </w:r>
      <w:r w:rsidR="00C009D2">
        <w:rPr>
          <w:szCs w:val="28"/>
        </w:rPr>
        <w:t>concerning</w:t>
      </w:r>
      <w:r w:rsidRPr="000E6629">
        <w:rPr>
          <w:szCs w:val="28"/>
        </w:rPr>
        <w:t xml:space="preserve"> the state’s marijuana laws, the rule allows a lawyer to “counsel or assist </w:t>
      </w:r>
      <w:r w:rsidRPr="000E6629">
        <w:rPr>
          <w:szCs w:val="28"/>
        </w:rPr>
        <w:lastRenderedPageBreak/>
        <w:t xml:space="preserve">a client in making good faith efforts to determine the validity, scope, meaning or application of the law,” but it “forbids attorneys from counseling a client to engage in the business or to assist a client in doing so.” Accordingly, the opinion concluded, “[s]o long as both the federal law and the language of the Rule each remain the same,” the lawyer’s role is limited, and the lawyer “needs to perform the analysis required by the Rule and determine whether the particular legal service being requested rises to the level of assistance in violating federal law.” </w:t>
      </w:r>
      <w:r w:rsidRPr="002A141F">
        <w:rPr>
          <w:i/>
          <w:iCs/>
          <w:szCs w:val="28"/>
        </w:rPr>
        <w:t>Id.</w:t>
      </w:r>
    </w:p>
    <w:p w14:paraId="5E70D11A" w14:textId="28274560" w:rsidR="003E54C5" w:rsidRPr="00B22480" w:rsidRDefault="000C12C9" w:rsidP="00CF7615">
      <w:pPr>
        <w:pStyle w:val="BodyText"/>
        <w:spacing w:line="480" w:lineRule="auto"/>
        <w:ind w:firstLine="720"/>
        <w:jc w:val="both"/>
        <w:rPr>
          <w:szCs w:val="28"/>
        </w:rPr>
      </w:pPr>
      <w:r w:rsidRPr="003E54C5">
        <w:rPr>
          <w:szCs w:val="28"/>
        </w:rPr>
        <w:t xml:space="preserve">The Former Committee considered Maine’s opinion, but ultimately “decline[d] to interpret and apply ER 1.2(d) in a manner that would prevent a lawyer who concludes that the client’s proposed conduct is in ‘clear and unambiguous compliance’ with state law from assisting the client in connection with activities expressly authorized under state law, thereby depriving clients of the very legal advice and assistance that is needed to engage in the conduct that the state law expressly permits.” Ariz. Op. </w:t>
      </w:r>
      <w:r>
        <w:rPr>
          <w:szCs w:val="28"/>
        </w:rPr>
        <w:t>11-01</w:t>
      </w:r>
      <w:r w:rsidRPr="003E54C5">
        <w:rPr>
          <w:szCs w:val="28"/>
        </w:rPr>
        <w:t xml:space="preserve">. </w:t>
      </w:r>
      <w:r>
        <w:rPr>
          <w:szCs w:val="28"/>
        </w:rPr>
        <w:t xml:space="preserve">The Former Committee concluded that a lawyer </w:t>
      </w:r>
      <w:r w:rsidR="00C009D2">
        <w:rPr>
          <w:szCs w:val="28"/>
        </w:rPr>
        <w:t>might</w:t>
      </w:r>
      <w:r>
        <w:rPr>
          <w:szCs w:val="28"/>
        </w:rPr>
        <w:t xml:space="preserve"> ethically advise and assist a client </w:t>
      </w:r>
      <w:r w:rsidR="00C009D2">
        <w:rPr>
          <w:szCs w:val="28"/>
        </w:rPr>
        <w:t>concerning</w:t>
      </w:r>
      <w:r>
        <w:rPr>
          <w:szCs w:val="28"/>
        </w:rPr>
        <w:t xml:space="preserve"> activities that comply with the AMMA, including:</w:t>
      </w:r>
    </w:p>
    <w:p w14:paraId="2912C8E9" w14:textId="77777777" w:rsidR="003E54C5" w:rsidRPr="00B22480" w:rsidRDefault="000C12C9" w:rsidP="003E54C5">
      <w:pPr>
        <w:pStyle w:val="BodyText"/>
        <w:tabs>
          <w:tab w:val="left" w:pos="711"/>
        </w:tabs>
        <w:spacing w:after="240"/>
        <w:ind w:left="1440" w:right="1440"/>
        <w:jc w:val="both"/>
        <w:rPr>
          <w:szCs w:val="28"/>
        </w:rPr>
      </w:pPr>
      <w:r w:rsidRPr="00B22480">
        <w:rPr>
          <w:szCs w:val="28"/>
        </w:rPr>
        <w:t>such matters as advising clients about the requirements of the [AMMA], assisting clients in establishing and licensing non-profit business entities that meet the requirements of the [AMMA], and representing clients in proceedings before state agencies regarding licensing and certification issues.</w:t>
      </w:r>
    </w:p>
    <w:p w14:paraId="50B24CCA" w14:textId="6EE93372" w:rsidR="003E54C5" w:rsidRDefault="000C12C9" w:rsidP="003E54C5">
      <w:pPr>
        <w:pStyle w:val="BodyText"/>
        <w:spacing w:line="480" w:lineRule="auto"/>
        <w:jc w:val="both"/>
        <w:rPr>
          <w:szCs w:val="28"/>
        </w:rPr>
      </w:pPr>
      <w:r w:rsidRPr="00B22480">
        <w:rPr>
          <w:szCs w:val="28"/>
        </w:rPr>
        <w:t>Ariz. Op. 11-01.</w:t>
      </w:r>
    </w:p>
    <w:p w14:paraId="6E2F350F" w14:textId="7AC764AC" w:rsidR="00796459" w:rsidRPr="006E3CBE" w:rsidRDefault="000C12C9" w:rsidP="00796459">
      <w:pPr>
        <w:pStyle w:val="BodyText"/>
        <w:spacing w:line="480" w:lineRule="auto"/>
        <w:ind w:firstLine="720"/>
        <w:jc w:val="both"/>
        <w:rPr>
          <w:szCs w:val="28"/>
        </w:rPr>
      </w:pPr>
      <w:r w:rsidRPr="003E54C5">
        <w:rPr>
          <w:szCs w:val="28"/>
        </w:rPr>
        <w:lastRenderedPageBreak/>
        <w:t>Since the Opinion, several states’ opinions have concluded, as Maine did, that it would be unethical for a lawyer to assist a client in</w:t>
      </w:r>
      <w:r w:rsidR="00333276">
        <w:rPr>
          <w:szCs w:val="28"/>
        </w:rPr>
        <w:t xml:space="preserve"> conduct that would</w:t>
      </w:r>
      <w:r w:rsidRPr="003E54C5">
        <w:rPr>
          <w:szCs w:val="28"/>
        </w:rPr>
        <w:t xml:space="preserve"> </w:t>
      </w:r>
      <w:r w:rsidR="00BC0211" w:rsidRPr="003E54C5">
        <w:rPr>
          <w:szCs w:val="28"/>
        </w:rPr>
        <w:t>violate</w:t>
      </w:r>
      <w:r w:rsidR="00333276">
        <w:rPr>
          <w:szCs w:val="28"/>
        </w:rPr>
        <w:t xml:space="preserve"> </w:t>
      </w:r>
      <w:r w:rsidRPr="003E54C5">
        <w:rPr>
          <w:szCs w:val="28"/>
        </w:rPr>
        <w:t xml:space="preserve">the CSA. Most of these states resolved the conflict by amending their rule or adding </w:t>
      </w:r>
      <w:r w:rsidR="002B1F29">
        <w:rPr>
          <w:szCs w:val="28"/>
        </w:rPr>
        <w:t xml:space="preserve">an </w:t>
      </w:r>
      <w:r w:rsidRPr="003E54C5">
        <w:rPr>
          <w:szCs w:val="28"/>
        </w:rPr>
        <w:t xml:space="preserve">explanatory comment to allow lawyers </w:t>
      </w:r>
      <w:r w:rsidR="00C009D2">
        <w:rPr>
          <w:szCs w:val="28"/>
        </w:rPr>
        <w:t>to assist clients with their states’ marijuana laws ethically</w:t>
      </w:r>
      <w:r w:rsidRPr="003E54C5">
        <w:rPr>
          <w:szCs w:val="28"/>
        </w:rPr>
        <w:t>.</w:t>
      </w:r>
    </w:p>
    <w:p w14:paraId="3A045EEF" w14:textId="26F755D7" w:rsidR="002508B4" w:rsidRDefault="000C12C9" w:rsidP="00E40B8D">
      <w:pPr>
        <w:pStyle w:val="BodyText"/>
        <w:numPr>
          <w:ilvl w:val="0"/>
          <w:numId w:val="1"/>
        </w:numPr>
        <w:tabs>
          <w:tab w:val="left" w:pos="720"/>
        </w:tabs>
        <w:spacing w:line="480" w:lineRule="auto"/>
        <w:ind w:left="720"/>
        <w:jc w:val="both"/>
        <w:rPr>
          <w:b/>
          <w:bCs/>
          <w:szCs w:val="28"/>
        </w:rPr>
      </w:pPr>
      <w:r>
        <w:rPr>
          <w:b/>
          <w:bCs/>
          <w:szCs w:val="28"/>
        </w:rPr>
        <w:t xml:space="preserve">Purpose of the Proposed Rule Amendment </w:t>
      </w:r>
    </w:p>
    <w:p w14:paraId="54EC1793" w14:textId="1360FD29" w:rsidR="00B0780F" w:rsidRDefault="000C12C9" w:rsidP="009E523E">
      <w:pPr>
        <w:pStyle w:val="BodyText"/>
        <w:tabs>
          <w:tab w:val="left" w:pos="711"/>
        </w:tabs>
        <w:spacing w:line="480" w:lineRule="auto"/>
        <w:jc w:val="both"/>
        <w:rPr>
          <w:szCs w:val="28"/>
        </w:rPr>
      </w:pPr>
      <w:r>
        <w:rPr>
          <w:szCs w:val="28"/>
        </w:rPr>
        <w:tab/>
      </w:r>
      <w:r w:rsidR="00D406B7">
        <w:rPr>
          <w:szCs w:val="28"/>
        </w:rPr>
        <w:t>Considering</w:t>
      </w:r>
      <w:r w:rsidR="00F87BE5">
        <w:rPr>
          <w:szCs w:val="28"/>
        </w:rPr>
        <w:t xml:space="preserve"> the</w:t>
      </w:r>
      <w:r w:rsidR="00E62FE9">
        <w:rPr>
          <w:szCs w:val="28"/>
        </w:rPr>
        <w:t xml:space="preserve"> </w:t>
      </w:r>
      <w:r w:rsidR="00E62FE9" w:rsidRPr="00054C12">
        <w:rPr>
          <w:szCs w:val="28"/>
        </w:rPr>
        <w:t>numerous jurisdictions that have</w:t>
      </w:r>
      <w:r w:rsidR="00E62FE9">
        <w:rPr>
          <w:szCs w:val="28"/>
        </w:rPr>
        <w:t xml:space="preserve"> subsequently</w:t>
      </w:r>
      <w:r w:rsidR="00E62FE9" w:rsidRPr="00054C12">
        <w:rPr>
          <w:szCs w:val="28"/>
        </w:rPr>
        <w:t xml:space="preserve"> interpreted the same or substantially similar language to require a rule change to allow a lawyer to engage in the conduct</w:t>
      </w:r>
      <w:r w:rsidR="00E62FE9">
        <w:rPr>
          <w:szCs w:val="28"/>
        </w:rPr>
        <w:t xml:space="preserve">, the requestor asked that the Committee reevaluate the </w:t>
      </w:r>
      <w:r w:rsidR="00063FB4">
        <w:rPr>
          <w:szCs w:val="28"/>
        </w:rPr>
        <w:t>Opinion’s propriety</w:t>
      </w:r>
      <w:r w:rsidR="00E62FE9">
        <w:rPr>
          <w:szCs w:val="28"/>
        </w:rPr>
        <w:t xml:space="preserve">. The requestor also pointed to New Mexico’s criticism of the Opinion, </w:t>
      </w:r>
      <w:r w:rsidR="00B43AA3">
        <w:rPr>
          <w:szCs w:val="28"/>
        </w:rPr>
        <w:t xml:space="preserve">which </w:t>
      </w:r>
      <w:r w:rsidR="00E62FE9">
        <w:rPr>
          <w:szCs w:val="28"/>
        </w:rPr>
        <w:t>stat</w:t>
      </w:r>
      <w:r w:rsidR="00B43AA3">
        <w:rPr>
          <w:szCs w:val="28"/>
        </w:rPr>
        <w:t>es</w:t>
      </w:r>
      <w:r w:rsidR="00E62FE9">
        <w:rPr>
          <w:szCs w:val="28"/>
        </w:rPr>
        <w:t>, “</w:t>
      </w:r>
      <w:r w:rsidR="00E62FE9" w:rsidRPr="00A85BE2">
        <w:rPr>
          <w:szCs w:val="28"/>
        </w:rPr>
        <w:t>in th</w:t>
      </w:r>
      <w:r w:rsidR="00E62FE9">
        <w:rPr>
          <w:szCs w:val="28"/>
        </w:rPr>
        <w:t>e</w:t>
      </w:r>
      <w:r w:rsidR="00E62FE9" w:rsidRPr="00C91200">
        <w:t xml:space="preserve"> </w:t>
      </w:r>
      <w:r w:rsidR="00E62FE9">
        <w:t>[</w:t>
      </w:r>
      <w:r w:rsidR="00E62FE9" w:rsidRPr="00C91200">
        <w:rPr>
          <w:szCs w:val="28"/>
        </w:rPr>
        <w:t>State Bar of New Mexico’s Ethics Advisory Committee</w:t>
      </w:r>
      <w:r w:rsidR="00E62FE9">
        <w:rPr>
          <w:szCs w:val="28"/>
        </w:rPr>
        <w:t>’s]</w:t>
      </w:r>
      <w:r w:rsidR="00E62FE9" w:rsidRPr="00A85BE2">
        <w:rPr>
          <w:szCs w:val="28"/>
        </w:rPr>
        <w:t xml:space="preserve"> opinion, </w:t>
      </w:r>
      <w:r w:rsidR="00E62FE9">
        <w:rPr>
          <w:szCs w:val="28"/>
        </w:rPr>
        <w:t>[Arizona’s]</w:t>
      </w:r>
      <w:r w:rsidR="00E62FE9" w:rsidRPr="00A85BE2">
        <w:rPr>
          <w:szCs w:val="28"/>
        </w:rPr>
        <w:t xml:space="preserve"> opinion is based on a value judgment of the current state of federal laws and prosecutions and not on a true reading of the Rules of Professional Conduct.</w:t>
      </w:r>
      <w:r w:rsidR="00E62FE9">
        <w:rPr>
          <w:szCs w:val="28"/>
        </w:rPr>
        <w:t>”</w:t>
      </w:r>
      <w:r w:rsidR="00E62FE9" w:rsidRPr="00CE6361">
        <w:t xml:space="preserve"> </w:t>
      </w:r>
      <w:r w:rsidR="00E62FE9">
        <w:rPr>
          <w:szCs w:val="28"/>
        </w:rPr>
        <w:t>N</w:t>
      </w:r>
      <w:r w:rsidR="00E6626D">
        <w:rPr>
          <w:szCs w:val="28"/>
        </w:rPr>
        <w:t>.M.</w:t>
      </w:r>
      <w:r w:rsidR="00E62FE9">
        <w:rPr>
          <w:szCs w:val="28"/>
        </w:rPr>
        <w:t xml:space="preserve"> Op.</w:t>
      </w:r>
      <w:r w:rsidR="00E62FE9" w:rsidRPr="00CE6361">
        <w:rPr>
          <w:szCs w:val="28"/>
        </w:rPr>
        <w:t xml:space="preserve"> 2016-01</w:t>
      </w:r>
      <w:r w:rsidR="00E62FE9">
        <w:rPr>
          <w:szCs w:val="28"/>
        </w:rPr>
        <w:t xml:space="preserve">. </w:t>
      </w:r>
      <w:r w:rsidR="00136374">
        <w:rPr>
          <w:szCs w:val="28"/>
        </w:rPr>
        <w:t xml:space="preserve">Because the Former Committee’s ethics opinions </w:t>
      </w:r>
      <w:r w:rsidR="00B43AA3">
        <w:rPr>
          <w:szCs w:val="28"/>
        </w:rPr>
        <w:t>a</w:t>
      </w:r>
      <w:r w:rsidR="00136374">
        <w:rPr>
          <w:szCs w:val="28"/>
        </w:rPr>
        <w:t xml:space="preserve">re not binding, the requestor </w:t>
      </w:r>
      <w:r w:rsidR="0046386C">
        <w:rPr>
          <w:szCs w:val="28"/>
        </w:rPr>
        <w:t xml:space="preserve">invited this Committee to </w:t>
      </w:r>
      <w:r>
        <w:rPr>
          <w:szCs w:val="28"/>
        </w:rPr>
        <w:t>reconcile the perceived inconsistency</w:t>
      </w:r>
      <w:r w:rsidR="006709B1">
        <w:rPr>
          <w:szCs w:val="28"/>
        </w:rPr>
        <w:t>;</w:t>
      </w:r>
      <w:r w:rsidR="00B01E10">
        <w:rPr>
          <w:szCs w:val="28"/>
        </w:rPr>
        <w:t xml:space="preserve"> or provide a</w:t>
      </w:r>
      <w:r w:rsidR="006B1334">
        <w:rPr>
          <w:szCs w:val="28"/>
        </w:rPr>
        <w:t xml:space="preserve"> binding </w:t>
      </w:r>
      <w:r w:rsidR="00B01E10">
        <w:rPr>
          <w:szCs w:val="28"/>
        </w:rPr>
        <w:t>opinion on which Arizona lawyers could rely.</w:t>
      </w:r>
    </w:p>
    <w:p w14:paraId="4220C3CF" w14:textId="77438437" w:rsidR="009049CE" w:rsidRDefault="000C12C9" w:rsidP="009049CE">
      <w:pPr>
        <w:pStyle w:val="BodyText"/>
        <w:tabs>
          <w:tab w:val="left" w:pos="711"/>
        </w:tabs>
        <w:spacing w:line="480" w:lineRule="auto"/>
        <w:jc w:val="both"/>
        <w:rPr>
          <w:szCs w:val="28"/>
        </w:rPr>
      </w:pPr>
      <w:r>
        <w:rPr>
          <w:szCs w:val="28"/>
        </w:rPr>
        <w:tab/>
      </w:r>
      <w:r w:rsidR="00CB6C0D" w:rsidRPr="00CB6C0D">
        <w:rPr>
          <w:szCs w:val="28"/>
        </w:rPr>
        <w:t>After</w:t>
      </w:r>
      <w:r w:rsidR="00152672">
        <w:rPr>
          <w:szCs w:val="28"/>
        </w:rPr>
        <w:t xml:space="preserve"> the Committee received the request and reviewed the Opinion, Arizona voters</w:t>
      </w:r>
      <w:r w:rsidR="00CD31D4">
        <w:rPr>
          <w:szCs w:val="28"/>
        </w:rPr>
        <w:t xml:space="preserve"> passed Proposition 207</w:t>
      </w:r>
      <w:r w:rsidR="00995D6A">
        <w:rPr>
          <w:szCs w:val="28"/>
        </w:rPr>
        <w:t xml:space="preserve"> (Safe and Smart Arizona Act, “SSAA”)</w:t>
      </w:r>
      <w:r w:rsidR="00CD31D4">
        <w:rPr>
          <w:szCs w:val="28"/>
        </w:rPr>
        <w:t xml:space="preserve"> in November 2020, which </w:t>
      </w:r>
      <w:r w:rsidR="00152672">
        <w:rPr>
          <w:szCs w:val="28"/>
        </w:rPr>
        <w:t xml:space="preserve">expands the AMMA’s limited immunity protection </w:t>
      </w:r>
      <w:r w:rsidR="003E119B">
        <w:rPr>
          <w:szCs w:val="28"/>
        </w:rPr>
        <w:t xml:space="preserve">to cover various </w:t>
      </w:r>
      <w:r w:rsidR="003E119B">
        <w:rPr>
          <w:szCs w:val="28"/>
        </w:rPr>
        <w:lastRenderedPageBreak/>
        <w:t>conduct, including the purchase, possession, and consumption of small amounts of marijuana for non-medicinal purposes.</w:t>
      </w:r>
      <w:r w:rsidR="00995D6A">
        <w:rPr>
          <w:szCs w:val="28"/>
        </w:rPr>
        <w:t xml:space="preserve"> Like the AMMA, the SSAA </w:t>
      </w:r>
      <w:r w:rsidR="004E32AB">
        <w:rPr>
          <w:szCs w:val="28"/>
        </w:rPr>
        <w:t xml:space="preserve">directs the Arizona Department of Health Services to adopt rules and regulations under the SSAA. </w:t>
      </w:r>
      <w:r w:rsidR="00A34CF4">
        <w:rPr>
          <w:szCs w:val="28"/>
        </w:rPr>
        <w:t>L</w:t>
      </w:r>
      <w:r w:rsidR="004E32AB">
        <w:rPr>
          <w:szCs w:val="28"/>
        </w:rPr>
        <w:t>ike the AMMA, clients are likely to seek legal assistance to comply with the rules and regulations of the SSAA.</w:t>
      </w:r>
      <w:r w:rsidR="00CB6C0D" w:rsidRPr="00CB6C0D">
        <w:rPr>
          <w:szCs w:val="28"/>
        </w:rPr>
        <w:t xml:space="preserve"> </w:t>
      </w:r>
      <w:r w:rsidR="003E119B">
        <w:rPr>
          <w:szCs w:val="28"/>
        </w:rPr>
        <w:t>B</w:t>
      </w:r>
      <w:r w:rsidR="00CB6C0D" w:rsidRPr="00CB6C0D">
        <w:rPr>
          <w:szCs w:val="28"/>
        </w:rPr>
        <w:t>ecause of the unique circumstances</w:t>
      </w:r>
      <w:r w:rsidR="00CB6C0D">
        <w:rPr>
          <w:szCs w:val="28"/>
        </w:rPr>
        <w:t xml:space="preserve"> presented by the </w:t>
      </w:r>
      <w:r w:rsidR="00995D6A">
        <w:rPr>
          <w:szCs w:val="28"/>
        </w:rPr>
        <w:t>AMMA and SSAA (collectively the “marijuana laws”)</w:t>
      </w:r>
      <w:r w:rsidR="00CB6C0D" w:rsidRPr="00CB6C0D">
        <w:rPr>
          <w:szCs w:val="28"/>
        </w:rPr>
        <w:t xml:space="preserve">, </w:t>
      </w:r>
      <w:r w:rsidR="00CB6C0D" w:rsidRPr="00CB6C0D">
        <w:rPr>
          <w:i/>
          <w:iCs/>
          <w:szCs w:val="28"/>
        </w:rPr>
        <w:t>see United States v. McIntosh</w:t>
      </w:r>
      <w:r w:rsidR="00CB6C0D" w:rsidRPr="00CB6C0D">
        <w:rPr>
          <w:szCs w:val="28"/>
        </w:rPr>
        <w:t>, 833 F.3d 1163, 1179 (9th Cir. 2016) (no state can legalize what federal law prohibits), which w</w:t>
      </w:r>
      <w:r w:rsidR="0085435A">
        <w:rPr>
          <w:szCs w:val="28"/>
        </w:rPr>
        <w:t xml:space="preserve">as </w:t>
      </w:r>
      <w:r w:rsidR="00CB6C0D" w:rsidRPr="00CB6C0D">
        <w:rPr>
          <w:szCs w:val="28"/>
        </w:rPr>
        <w:t xml:space="preserve">not contemplated when the Court </w:t>
      </w:r>
      <w:r w:rsidR="00CB6C0D">
        <w:rPr>
          <w:szCs w:val="28"/>
        </w:rPr>
        <w:t>adopted Model Rule</w:t>
      </w:r>
      <w:r w:rsidR="00CB6C0D" w:rsidRPr="00CB6C0D">
        <w:rPr>
          <w:szCs w:val="28"/>
        </w:rPr>
        <w:t xml:space="preserve"> 1.2,</w:t>
      </w:r>
      <w:r w:rsidR="00245577" w:rsidRPr="00245577">
        <w:rPr>
          <w:i/>
          <w:iCs/>
          <w:szCs w:val="28"/>
        </w:rPr>
        <w:t xml:space="preserve"> </w:t>
      </w:r>
      <w:r w:rsidR="00CB6C0D" w:rsidRPr="00CB6C0D">
        <w:rPr>
          <w:szCs w:val="28"/>
        </w:rPr>
        <w:t xml:space="preserve">the Committee petitions the Court to amend ER 1.2 to clarify that a lawyer may assist with matters expressly permitted under state law. </w:t>
      </w:r>
      <w:r w:rsidR="009B6360">
        <w:rPr>
          <w:i/>
          <w:iCs/>
          <w:szCs w:val="28"/>
        </w:rPr>
        <w:t>S</w:t>
      </w:r>
      <w:r w:rsidR="009B6360" w:rsidRPr="0017537A">
        <w:rPr>
          <w:i/>
          <w:iCs/>
          <w:szCs w:val="28"/>
        </w:rPr>
        <w:t>ee</w:t>
      </w:r>
      <w:r w:rsidR="009B6360">
        <w:rPr>
          <w:i/>
          <w:iCs/>
          <w:szCs w:val="28"/>
        </w:rPr>
        <w:t xml:space="preserve"> also</w:t>
      </w:r>
      <w:r w:rsidR="009B6360" w:rsidRPr="0017537A">
        <w:rPr>
          <w:i/>
          <w:iCs/>
          <w:szCs w:val="28"/>
        </w:rPr>
        <w:t xml:space="preserve"> </w:t>
      </w:r>
      <w:r w:rsidR="009B6360" w:rsidRPr="002C412D">
        <w:rPr>
          <w:szCs w:val="28"/>
        </w:rPr>
        <w:t xml:space="preserve">Dennis A. Rendleman, </w:t>
      </w:r>
      <w:r w:rsidR="009B6360" w:rsidRPr="0017537A">
        <w:rPr>
          <w:i/>
          <w:iCs/>
          <w:szCs w:val="28"/>
        </w:rPr>
        <w:t>Ethical Issues in Representing Clients in the Cannabis Business: “One Toke over the Line?”</w:t>
      </w:r>
      <w:r w:rsidR="009B6360" w:rsidRPr="002C412D">
        <w:rPr>
          <w:szCs w:val="28"/>
        </w:rPr>
        <w:t>, Prof. Law., 2019, at 20, 23 (2019) (“Model Rule 1.2(d) contemplates legality as a binary concept, not an ambiguous situation with conflicting federalism issues.”).</w:t>
      </w:r>
    </w:p>
    <w:p w14:paraId="133B7004" w14:textId="62DB6C1C" w:rsidR="00545CD1" w:rsidRPr="009049CE" w:rsidRDefault="000C12C9" w:rsidP="008F7BB3">
      <w:pPr>
        <w:pStyle w:val="BodyText"/>
        <w:numPr>
          <w:ilvl w:val="0"/>
          <w:numId w:val="14"/>
        </w:numPr>
        <w:tabs>
          <w:tab w:val="left" w:pos="711"/>
        </w:tabs>
        <w:spacing w:after="240"/>
        <w:jc w:val="both"/>
        <w:rPr>
          <w:b/>
          <w:bCs/>
          <w:szCs w:val="28"/>
        </w:rPr>
      </w:pPr>
      <w:r>
        <w:rPr>
          <w:b/>
          <w:bCs/>
          <w:szCs w:val="28"/>
        </w:rPr>
        <w:t>Counseling</w:t>
      </w:r>
      <w:r w:rsidR="00FA2050">
        <w:rPr>
          <w:b/>
          <w:bCs/>
          <w:szCs w:val="28"/>
        </w:rPr>
        <w:t xml:space="preserve"> </w:t>
      </w:r>
      <w:r>
        <w:rPr>
          <w:b/>
          <w:bCs/>
          <w:szCs w:val="28"/>
        </w:rPr>
        <w:t>or A</w:t>
      </w:r>
      <w:r w:rsidR="00085F62">
        <w:rPr>
          <w:b/>
          <w:bCs/>
          <w:szCs w:val="28"/>
        </w:rPr>
        <w:t xml:space="preserve">ssisting Clients </w:t>
      </w:r>
      <w:r w:rsidR="00A3692F">
        <w:rPr>
          <w:b/>
          <w:bCs/>
          <w:szCs w:val="28"/>
        </w:rPr>
        <w:t>w</w:t>
      </w:r>
      <w:r w:rsidR="00085F62">
        <w:rPr>
          <w:b/>
          <w:bCs/>
          <w:szCs w:val="28"/>
        </w:rPr>
        <w:t xml:space="preserve">ith </w:t>
      </w:r>
      <w:r w:rsidR="00497D87">
        <w:rPr>
          <w:b/>
          <w:bCs/>
          <w:szCs w:val="28"/>
        </w:rPr>
        <w:t>Matters Expressly Permitted by State Law</w:t>
      </w:r>
      <w:r w:rsidR="00106F1D">
        <w:rPr>
          <w:b/>
          <w:bCs/>
          <w:szCs w:val="28"/>
        </w:rPr>
        <w:t xml:space="preserve"> is Not a Violation of 1.2(d).</w:t>
      </w:r>
    </w:p>
    <w:p w14:paraId="69463AFC" w14:textId="7E2FE2E3" w:rsidR="009C09B0" w:rsidRPr="00CB6C0D" w:rsidRDefault="000C12C9" w:rsidP="0037577B">
      <w:pPr>
        <w:pStyle w:val="BodyText"/>
        <w:tabs>
          <w:tab w:val="left" w:pos="711"/>
        </w:tabs>
        <w:spacing w:line="480" w:lineRule="auto"/>
        <w:jc w:val="both"/>
        <w:rPr>
          <w:szCs w:val="28"/>
        </w:rPr>
      </w:pPr>
      <w:r>
        <w:rPr>
          <w:szCs w:val="28"/>
        </w:rPr>
        <w:tab/>
      </w:r>
      <w:r w:rsidR="007636DD">
        <w:rPr>
          <w:szCs w:val="28"/>
        </w:rPr>
        <w:t>The Committee concludes that a</w:t>
      </w:r>
      <w:r w:rsidR="00545CD1" w:rsidRPr="00CB6C0D">
        <w:rPr>
          <w:szCs w:val="28"/>
        </w:rPr>
        <w:t xml:space="preserve"> lawyer </w:t>
      </w:r>
      <w:r w:rsidR="002C345B">
        <w:rPr>
          <w:szCs w:val="28"/>
        </w:rPr>
        <w:t>should</w:t>
      </w:r>
      <w:r w:rsidR="00545CD1" w:rsidRPr="00CB6C0D">
        <w:rPr>
          <w:szCs w:val="28"/>
        </w:rPr>
        <w:t xml:space="preserve"> not </w:t>
      </w:r>
      <w:r w:rsidR="002C345B">
        <w:rPr>
          <w:szCs w:val="28"/>
        </w:rPr>
        <w:t xml:space="preserve">be held to have </w:t>
      </w:r>
      <w:r w:rsidR="00545CD1" w:rsidRPr="00CB6C0D">
        <w:rPr>
          <w:szCs w:val="28"/>
        </w:rPr>
        <w:t>violate</w:t>
      </w:r>
      <w:r w:rsidR="002C345B">
        <w:rPr>
          <w:szCs w:val="28"/>
        </w:rPr>
        <w:t>d</w:t>
      </w:r>
      <w:r w:rsidR="00545CD1" w:rsidRPr="00CB6C0D">
        <w:rPr>
          <w:szCs w:val="28"/>
        </w:rPr>
        <w:t xml:space="preserve"> 1.2(d) by counseling or assisting a client with </w:t>
      </w:r>
      <w:r w:rsidR="00960CCD">
        <w:rPr>
          <w:szCs w:val="28"/>
        </w:rPr>
        <w:t>matters expressly permitted under</w:t>
      </w:r>
      <w:r w:rsidR="00545CD1" w:rsidRPr="00CB6C0D">
        <w:rPr>
          <w:szCs w:val="28"/>
        </w:rPr>
        <w:t xml:space="preserve"> the </w:t>
      </w:r>
      <w:r w:rsidR="00995D6A">
        <w:rPr>
          <w:szCs w:val="28"/>
        </w:rPr>
        <w:t>marijuana</w:t>
      </w:r>
      <w:r w:rsidR="003E119B">
        <w:rPr>
          <w:szCs w:val="28"/>
        </w:rPr>
        <w:t xml:space="preserve"> laws</w:t>
      </w:r>
      <w:r w:rsidR="003E119B" w:rsidRPr="00CB6C0D">
        <w:rPr>
          <w:szCs w:val="28"/>
        </w:rPr>
        <w:t xml:space="preserve"> </w:t>
      </w:r>
      <w:r w:rsidR="00545CD1" w:rsidRPr="00CB6C0D">
        <w:rPr>
          <w:szCs w:val="28"/>
        </w:rPr>
        <w:t xml:space="preserve">because there is no federal law that </w:t>
      </w:r>
      <w:r w:rsidR="00C009D2">
        <w:rPr>
          <w:szCs w:val="28"/>
        </w:rPr>
        <w:t>explicitly</w:t>
      </w:r>
      <w:r w:rsidR="00FA2050">
        <w:rPr>
          <w:szCs w:val="28"/>
        </w:rPr>
        <w:t xml:space="preserve"> </w:t>
      </w:r>
      <w:r w:rsidR="00545CD1" w:rsidRPr="00CB6C0D">
        <w:rPr>
          <w:szCs w:val="28"/>
        </w:rPr>
        <w:t xml:space="preserve">prohibits lawyers from counseling or assisting clients </w:t>
      </w:r>
      <w:r w:rsidR="00A15BDA">
        <w:rPr>
          <w:szCs w:val="28"/>
        </w:rPr>
        <w:t>in</w:t>
      </w:r>
      <w:r w:rsidR="00545CD1" w:rsidRPr="00CB6C0D">
        <w:rPr>
          <w:szCs w:val="28"/>
        </w:rPr>
        <w:t xml:space="preserve"> </w:t>
      </w:r>
      <w:r w:rsidR="00650F49">
        <w:rPr>
          <w:szCs w:val="28"/>
        </w:rPr>
        <w:t>complying</w:t>
      </w:r>
      <w:r w:rsidR="00545CD1" w:rsidRPr="00CB6C0D">
        <w:rPr>
          <w:szCs w:val="28"/>
        </w:rPr>
        <w:t xml:space="preserve"> </w:t>
      </w:r>
      <w:r w:rsidR="00A15BDA">
        <w:rPr>
          <w:szCs w:val="28"/>
        </w:rPr>
        <w:t>with</w:t>
      </w:r>
      <w:r w:rsidR="00545CD1" w:rsidRPr="00CB6C0D">
        <w:rPr>
          <w:szCs w:val="28"/>
        </w:rPr>
        <w:t xml:space="preserve"> state law</w:t>
      </w:r>
      <w:r w:rsidR="00D375AE">
        <w:rPr>
          <w:szCs w:val="28"/>
        </w:rPr>
        <w:t>.</w:t>
      </w:r>
      <w:r w:rsidR="00545CD1" w:rsidRPr="00CB6C0D">
        <w:rPr>
          <w:szCs w:val="28"/>
        </w:rPr>
        <w:t xml:space="preserve"> </w:t>
      </w:r>
      <w:r w:rsidR="00610DDE">
        <w:rPr>
          <w:szCs w:val="28"/>
        </w:rPr>
        <w:t>N</w:t>
      </w:r>
      <w:r w:rsidR="00545CD1" w:rsidRPr="00CB6C0D">
        <w:rPr>
          <w:szCs w:val="28"/>
        </w:rPr>
        <w:t xml:space="preserve">o provision of the </w:t>
      </w:r>
      <w:r w:rsidR="00995D6A">
        <w:rPr>
          <w:szCs w:val="28"/>
        </w:rPr>
        <w:lastRenderedPageBreak/>
        <w:t>marijuana laws</w:t>
      </w:r>
      <w:r w:rsidR="00995D6A" w:rsidRPr="00CB6C0D">
        <w:rPr>
          <w:szCs w:val="28"/>
        </w:rPr>
        <w:t xml:space="preserve"> </w:t>
      </w:r>
      <w:r w:rsidR="00545CD1" w:rsidRPr="00CB6C0D">
        <w:rPr>
          <w:szCs w:val="28"/>
        </w:rPr>
        <w:t xml:space="preserve">has been held to </w:t>
      </w:r>
      <w:r w:rsidR="00C009D2">
        <w:rPr>
          <w:szCs w:val="28"/>
        </w:rPr>
        <w:t>conflict</w:t>
      </w:r>
      <w:r w:rsidR="00545CD1" w:rsidRPr="00CB6C0D">
        <w:rPr>
          <w:szCs w:val="28"/>
        </w:rPr>
        <w:t xml:space="preserve"> with federal law or otherwise invalid.</w:t>
      </w:r>
      <w:r>
        <w:rPr>
          <w:rStyle w:val="FootnoteReference"/>
          <w:szCs w:val="28"/>
        </w:rPr>
        <w:footnoteReference w:id="1"/>
      </w:r>
      <w:r w:rsidR="00545CD1" w:rsidRPr="00CB6C0D">
        <w:rPr>
          <w:szCs w:val="28"/>
        </w:rPr>
        <w:t xml:space="preserve"> </w:t>
      </w:r>
      <w:r w:rsidR="00545CD1" w:rsidRPr="00DD53C7">
        <w:rPr>
          <w:i/>
          <w:iCs/>
          <w:szCs w:val="28"/>
        </w:rPr>
        <w:t>See, e.g., Reed-Kaliher v. Hoggatt</w:t>
      </w:r>
      <w:r w:rsidR="00545CD1" w:rsidRPr="00CB6C0D">
        <w:rPr>
          <w:szCs w:val="28"/>
        </w:rPr>
        <w:t>, 237 Ariz. 119, 123, ¶¶</w:t>
      </w:r>
      <w:r w:rsidR="002C345B">
        <w:rPr>
          <w:szCs w:val="28"/>
        </w:rPr>
        <w:t> </w:t>
      </w:r>
      <w:r w:rsidR="00545CD1" w:rsidRPr="00CB6C0D">
        <w:rPr>
          <w:szCs w:val="28"/>
        </w:rPr>
        <w:t xml:space="preserve">18–24 (2015); </w:t>
      </w:r>
      <w:r w:rsidR="00545CD1" w:rsidRPr="00DD53C7">
        <w:rPr>
          <w:i/>
          <w:iCs/>
          <w:szCs w:val="28"/>
        </w:rPr>
        <w:t>White Mountain Health Ctr., Inc. v. Maricopa County</w:t>
      </w:r>
      <w:r w:rsidR="00545CD1" w:rsidRPr="00CB6C0D">
        <w:rPr>
          <w:szCs w:val="28"/>
        </w:rPr>
        <w:t>, 241 Ariz. 230, 240, ¶¶</w:t>
      </w:r>
      <w:r w:rsidR="002C345B">
        <w:rPr>
          <w:szCs w:val="28"/>
        </w:rPr>
        <w:t> </w:t>
      </w:r>
      <w:r w:rsidR="00545CD1" w:rsidRPr="00CB6C0D">
        <w:rPr>
          <w:szCs w:val="28"/>
        </w:rPr>
        <w:t>35</w:t>
      </w:r>
      <w:r w:rsidR="002C345B">
        <w:rPr>
          <w:szCs w:val="28"/>
        </w:rPr>
        <w:t>-3</w:t>
      </w:r>
      <w:r w:rsidR="00545CD1" w:rsidRPr="00CB6C0D">
        <w:rPr>
          <w:szCs w:val="28"/>
        </w:rPr>
        <w:t xml:space="preserve">6 (App. 2016). Given that “federal policy on medical marijuana authorized by states [is] in a state of flux,” </w:t>
      </w:r>
      <w:r w:rsidR="00545CD1" w:rsidRPr="00DD53C7">
        <w:rPr>
          <w:i/>
          <w:iCs/>
          <w:szCs w:val="28"/>
        </w:rPr>
        <w:t>Green Cross Med., Inc. v. Gally</w:t>
      </w:r>
      <w:r w:rsidR="00545CD1" w:rsidRPr="00CB6C0D">
        <w:rPr>
          <w:szCs w:val="28"/>
        </w:rPr>
        <w:t>, 242 Ariz. 293, 298, ¶</w:t>
      </w:r>
      <w:r w:rsidR="002C345B">
        <w:rPr>
          <w:szCs w:val="28"/>
        </w:rPr>
        <w:t> </w:t>
      </w:r>
      <w:r w:rsidR="00545CD1" w:rsidRPr="00CB6C0D">
        <w:rPr>
          <w:szCs w:val="28"/>
        </w:rPr>
        <w:t>18 (App. 2017), it is the Committee’s opinion that a lawyer who assists a client within the parameters of the Opinion is making “a good faith effort to determine the validity, scope, meaning or application of the law.”</w:t>
      </w:r>
      <w:r w:rsidR="00BE0D53" w:rsidRPr="00BE0D53">
        <w:t xml:space="preserve"> </w:t>
      </w:r>
      <w:r w:rsidR="00E644EF" w:rsidRPr="00E644EF">
        <w:rPr>
          <w:i/>
          <w:iCs/>
        </w:rPr>
        <w:t xml:space="preserve">See </w:t>
      </w:r>
      <w:r w:rsidR="00BE0D53">
        <w:t xml:space="preserve">ER 1.2 cmt. </w:t>
      </w:r>
      <w:r w:rsidR="00BE0D53" w:rsidRPr="00BE0D53">
        <w:rPr>
          <w:szCs w:val="28"/>
        </w:rPr>
        <w:t>13</w:t>
      </w:r>
      <w:r w:rsidR="00BE0D53">
        <w:rPr>
          <w:szCs w:val="28"/>
        </w:rPr>
        <w:t xml:space="preserve"> (</w:t>
      </w:r>
      <w:r w:rsidR="00BE0D53" w:rsidRPr="00BE0D53">
        <w:rPr>
          <w:szCs w:val="28"/>
        </w:rPr>
        <w:t>the last clause of ER 1.2(d) “recognizes that determining the validity or interpretation of a statute or regulation may require a course of action involving disobedience of the statute or regulation or of the interpretation placed upon it by governmental authorities”</w:t>
      </w:r>
      <w:r w:rsidR="00E644EF">
        <w:rPr>
          <w:szCs w:val="28"/>
        </w:rPr>
        <w:t>)</w:t>
      </w:r>
      <w:r w:rsidR="00516E15">
        <w:rPr>
          <w:szCs w:val="28"/>
        </w:rPr>
        <w:t>.</w:t>
      </w:r>
    </w:p>
    <w:p w14:paraId="4B1CD2D9" w14:textId="731C05C4" w:rsidR="00B11BF7" w:rsidRPr="00CB6C0D" w:rsidRDefault="000C12C9" w:rsidP="00B11BF7">
      <w:pPr>
        <w:pStyle w:val="BodyText"/>
        <w:tabs>
          <w:tab w:val="left" w:pos="711"/>
        </w:tabs>
        <w:spacing w:line="480" w:lineRule="auto"/>
        <w:jc w:val="both"/>
        <w:rPr>
          <w:szCs w:val="28"/>
        </w:rPr>
      </w:pPr>
      <w:r>
        <w:rPr>
          <w:szCs w:val="28"/>
        </w:rPr>
        <w:tab/>
      </w:r>
      <w:r w:rsidRPr="00CB6C0D">
        <w:rPr>
          <w:szCs w:val="28"/>
        </w:rPr>
        <w:t xml:space="preserve">However, the conclusion presumes that the lawyer’s conduct of counseling and assisting the client with state law would not itself be a violation of federal law. </w:t>
      </w:r>
      <w:r w:rsidRPr="00E644EF">
        <w:rPr>
          <w:i/>
          <w:iCs/>
          <w:szCs w:val="28"/>
        </w:rPr>
        <w:t xml:space="preserve">See </w:t>
      </w:r>
      <w:r w:rsidR="00332457" w:rsidRPr="00B22480">
        <w:rPr>
          <w:szCs w:val="28"/>
        </w:rPr>
        <w:t>18 U.S.C. § 2(a) (“Whoever commits an offense against the United States or aids, abets, counsels, commands, induces or procures its commission, is punishable as a principal.”)</w:t>
      </w:r>
      <w:r w:rsidR="00913989">
        <w:rPr>
          <w:szCs w:val="28"/>
        </w:rPr>
        <w:t>.</w:t>
      </w:r>
      <w:r w:rsidRPr="00B11BF7">
        <w:rPr>
          <w:szCs w:val="28"/>
        </w:rPr>
        <w:t xml:space="preserve"> </w:t>
      </w:r>
      <w:r w:rsidRPr="00CB6C0D">
        <w:rPr>
          <w:szCs w:val="28"/>
        </w:rPr>
        <w:t>Although issues of impossibility preemption and aiding and abetting have been raised</w:t>
      </w:r>
      <w:r w:rsidR="004E32AB">
        <w:rPr>
          <w:szCs w:val="28"/>
        </w:rPr>
        <w:t xml:space="preserve"> </w:t>
      </w:r>
      <w:r w:rsidR="00841199">
        <w:rPr>
          <w:szCs w:val="28"/>
        </w:rPr>
        <w:t>concerning</w:t>
      </w:r>
      <w:r w:rsidR="004E32AB">
        <w:rPr>
          <w:szCs w:val="28"/>
        </w:rPr>
        <w:t xml:space="preserve"> the AMMA</w:t>
      </w:r>
      <w:r w:rsidRPr="00CB6C0D">
        <w:rPr>
          <w:szCs w:val="28"/>
        </w:rPr>
        <w:t xml:space="preserve">, </w:t>
      </w:r>
      <w:r>
        <w:rPr>
          <w:szCs w:val="28"/>
        </w:rPr>
        <w:t xml:space="preserve">they </w:t>
      </w:r>
      <w:r w:rsidRPr="00CB6C0D">
        <w:rPr>
          <w:szCs w:val="28"/>
        </w:rPr>
        <w:t>have routinely been rejected</w:t>
      </w:r>
      <w:r>
        <w:rPr>
          <w:szCs w:val="28"/>
        </w:rPr>
        <w:t>.</w:t>
      </w:r>
      <w:r>
        <w:rPr>
          <w:rStyle w:val="FootnoteReference"/>
          <w:szCs w:val="28"/>
        </w:rPr>
        <w:footnoteReference w:id="2"/>
      </w:r>
      <w:r w:rsidRPr="00B11BF7">
        <w:rPr>
          <w:i/>
          <w:iCs/>
          <w:szCs w:val="28"/>
        </w:rPr>
        <w:t xml:space="preserve"> </w:t>
      </w:r>
      <w:r w:rsidRPr="00E644EF">
        <w:rPr>
          <w:i/>
          <w:iCs/>
          <w:szCs w:val="28"/>
        </w:rPr>
        <w:t>See White Mountain</w:t>
      </w:r>
      <w:r w:rsidRPr="00CB6C0D">
        <w:rPr>
          <w:szCs w:val="28"/>
        </w:rPr>
        <w:t>, 241 Ariz. at 24</w:t>
      </w:r>
      <w:r>
        <w:rPr>
          <w:szCs w:val="28"/>
        </w:rPr>
        <w:t>0</w:t>
      </w:r>
      <w:r w:rsidRPr="00CB6C0D">
        <w:rPr>
          <w:szCs w:val="28"/>
        </w:rPr>
        <w:t>, ¶</w:t>
      </w:r>
      <w:r w:rsidR="002C345B">
        <w:rPr>
          <w:szCs w:val="28"/>
        </w:rPr>
        <w:t> </w:t>
      </w:r>
      <w:r>
        <w:rPr>
          <w:szCs w:val="28"/>
        </w:rPr>
        <w:t xml:space="preserve">33 (impossibility preemption occurs when </w:t>
      </w:r>
      <w:r>
        <w:rPr>
          <w:szCs w:val="28"/>
        </w:rPr>
        <w:lastRenderedPageBreak/>
        <w:t>“</w:t>
      </w:r>
      <w:r w:rsidRPr="00F410AF">
        <w:rPr>
          <w:szCs w:val="28"/>
        </w:rPr>
        <w:t>a conflict between the state and federal law</w:t>
      </w:r>
      <w:r>
        <w:rPr>
          <w:szCs w:val="28"/>
        </w:rPr>
        <w:t> . . . </w:t>
      </w:r>
      <w:r w:rsidRPr="00F410AF">
        <w:rPr>
          <w:szCs w:val="28"/>
        </w:rPr>
        <w:t>makes it physically impossible to comply with both state and federal law</w:t>
      </w:r>
      <w:r>
        <w:rPr>
          <w:szCs w:val="28"/>
        </w:rPr>
        <w:t>”).</w:t>
      </w:r>
      <w:r w:rsidR="005441AA" w:rsidRPr="005441AA">
        <w:rPr>
          <w:szCs w:val="28"/>
        </w:rPr>
        <w:t xml:space="preserve"> </w:t>
      </w:r>
      <w:r w:rsidR="005441AA">
        <w:rPr>
          <w:szCs w:val="28"/>
        </w:rPr>
        <w:t xml:space="preserve">If compliance with the procedure prescribed by the </w:t>
      </w:r>
      <w:r w:rsidR="00F00EAE">
        <w:rPr>
          <w:szCs w:val="28"/>
        </w:rPr>
        <w:t xml:space="preserve">marijuana laws </w:t>
      </w:r>
      <w:r w:rsidR="005441AA">
        <w:rPr>
          <w:szCs w:val="28"/>
        </w:rPr>
        <w:t xml:space="preserve">does not make it impossible to comply with the CSA, the same would be true of a lawyer assisting a client with compliance under the </w:t>
      </w:r>
      <w:r w:rsidR="00F00EAE">
        <w:rPr>
          <w:szCs w:val="28"/>
        </w:rPr>
        <w:t>marijuana laws</w:t>
      </w:r>
      <w:r w:rsidR="005441AA">
        <w:rPr>
          <w:szCs w:val="28"/>
        </w:rPr>
        <w:t>.</w:t>
      </w:r>
    </w:p>
    <w:p w14:paraId="7FB30E60" w14:textId="7FEA5952" w:rsidR="00545CD1" w:rsidRDefault="000C12C9" w:rsidP="00B40682">
      <w:pPr>
        <w:pStyle w:val="BodyText"/>
        <w:tabs>
          <w:tab w:val="left" w:pos="711"/>
        </w:tabs>
        <w:spacing w:line="480" w:lineRule="auto"/>
        <w:jc w:val="both"/>
        <w:rPr>
          <w:szCs w:val="28"/>
        </w:rPr>
      </w:pPr>
      <w:r>
        <w:rPr>
          <w:szCs w:val="28"/>
        </w:rPr>
        <w:tab/>
      </w:r>
      <w:r w:rsidRPr="00CB6C0D">
        <w:rPr>
          <w:szCs w:val="28"/>
        </w:rPr>
        <w:t xml:space="preserve">Because the </w:t>
      </w:r>
      <w:r>
        <w:rPr>
          <w:szCs w:val="28"/>
        </w:rPr>
        <w:t xml:space="preserve">Committee’s </w:t>
      </w:r>
      <w:r w:rsidRPr="00CB6C0D">
        <w:rPr>
          <w:szCs w:val="28"/>
        </w:rPr>
        <w:t xml:space="preserve">conclusion turns on whether the conduct of “lawyering” itself would be illegal in this context, </w:t>
      </w:r>
      <w:r w:rsidR="00C74556" w:rsidRPr="00B55CB4">
        <w:rPr>
          <w:i/>
          <w:iCs/>
          <w:szCs w:val="28"/>
        </w:rPr>
        <w:t>see</w:t>
      </w:r>
      <w:r w:rsidR="00C74556">
        <w:rPr>
          <w:szCs w:val="28"/>
        </w:rPr>
        <w:t xml:space="preserve"> </w:t>
      </w:r>
      <w:r w:rsidR="00913989" w:rsidRPr="00E644EF">
        <w:rPr>
          <w:i/>
          <w:iCs/>
          <w:szCs w:val="28"/>
        </w:rPr>
        <w:t>White Mountain</w:t>
      </w:r>
      <w:r w:rsidR="00913989" w:rsidRPr="00CB6C0D">
        <w:rPr>
          <w:szCs w:val="28"/>
        </w:rPr>
        <w:t>, 241 Ariz. at 246, ¶ 52 (“[T]o prove aiding and abetting under federal law, ‘it is necessary that a defendant in some sort associate himself with the venture, that he participate in it as in something that he wishes to bring about, that he seek by his action to make it succeed.’</w:t>
      </w:r>
      <w:r w:rsidR="00913989">
        <w:rPr>
          <w:szCs w:val="28"/>
        </w:rPr>
        <w:t>”</w:t>
      </w:r>
      <w:r w:rsidR="00913989" w:rsidRPr="00CB6C0D">
        <w:rPr>
          <w:szCs w:val="28"/>
        </w:rPr>
        <w:t xml:space="preserve"> (quoting </w:t>
      </w:r>
      <w:r w:rsidR="00913989" w:rsidRPr="00E644EF">
        <w:rPr>
          <w:i/>
          <w:iCs/>
          <w:szCs w:val="28"/>
        </w:rPr>
        <w:t>Nye &amp; Nissen v. United States</w:t>
      </w:r>
      <w:r w:rsidR="00913989" w:rsidRPr="00CB6C0D">
        <w:rPr>
          <w:szCs w:val="28"/>
        </w:rPr>
        <w:t>, 336 U.S. 613, 619 (1949)))</w:t>
      </w:r>
      <w:r w:rsidR="00B40682">
        <w:rPr>
          <w:szCs w:val="28"/>
        </w:rPr>
        <w:t>;</w:t>
      </w:r>
      <w:r w:rsidR="003F1DF8">
        <w:rPr>
          <w:szCs w:val="28"/>
        </w:rPr>
        <w:t xml:space="preserve"> </w:t>
      </w:r>
      <w:r w:rsidR="00B40682" w:rsidRPr="00B40682">
        <w:rPr>
          <w:szCs w:val="28"/>
        </w:rPr>
        <w:t xml:space="preserve">Michael H. Rubin, </w:t>
      </w:r>
      <w:r w:rsidR="00B40682" w:rsidRPr="003F1DF8">
        <w:rPr>
          <w:i/>
          <w:iCs/>
          <w:szCs w:val="28"/>
        </w:rPr>
        <w:t>Smokin</w:t>
      </w:r>
      <w:r w:rsidR="003F1DF8" w:rsidRPr="003F1DF8">
        <w:rPr>
          <w:i/>
          <w:iCs/>
          <w:szCs w:val="28"/>
        </w:rPr>
        <w:t>’</w:t>
      </w:r>
      <w:r w:rsidR="00B40682" w:rsidRPr="003F1DF8">
        <w:rPr>
          <w:i/>
          <w:iCs/>
          <w:szCs w:val="28"/>
        </w:rPr>
        <w:t xml:space="preserve"> Hot: Ethical Issues for Lawyers Advising Business Clients in States with Legalized Medical or Recreational Marijuana</w:t>
      </w:r>
      <w:r w:rsidR="00B40682" w:rsidRPr="00B40682">
        <w:rPr>
          <w:szCs w:val="28"/>
        </w:rPr>
        <w:t>, 79 La. L. Rev. 629, 661–62 (2019)</w:t>
      </w:r>
      <w:r w:rsidR="00B90844">
        <w:rPr>
          <w:szCs w:val="28"/>
        </w:rPr>
        <w:t xml:space="preserve"> (“</w:t>
      </w:r>
      <w:r w:rsidR="00B90844" w:rsidRPr="00B40682">
        <w:rPr>
          <w:szCs w:val="28"/>
        </w:rPr>
        <w:t>Courts have indicated that if there is evidence an attorney knew of the clien</w:t>
      </w:r>
      <w:r w:rsidR="00B90844">
        <w:rPr>
          <w:szCs w:val="28"/>
        </w:rPr>
        <w:t>t’</w:t>
      </w:r>
      <w:r w:rsidR="00B90844" w:rsidRPr="00B40682">
        <w:rPr>
          <w:szCs w:val="28"/>
        </w:rPr>
        <w:t>s wrongful conduct and rendered substantial assistance in committing it, the possibility exists that the attorney might be held liable as an aider and abettor.</w:t>
      </w:r>
      <w:r w:rsidR="00B90844">
        <w:rPr>
          <w:szCs w:val="28"/>
        </w:rPr>
        <w:t>” (footnote omitted)</w:t>
      </w:r>
      <w:r w:rsidR="00B40682">
        <w:rPr>
          <w:szCs w:val="28"/>
        </w:rPr>
        <w:t>)</w:t>
      </w:r>
      <w:r w:rsidR="003721B0">
        <w:rPr>
          <w:szCs w:val="28"/>
        </w:rPr>
        <w:t>,</w:t>
      </w:r>
      <w:r w:rsidR="00E14220">
        <w:rPr>
          <w:szCs w:val="28"/>
        </w:rPr>
        <w:t xml:space="preserve"> </w:t>
      </w:r>
      <w:r w:rsidRPr="00CB6C0D">
        <w:rPr>
          <w:szCs w:val="28"/>
        </w:rPr>
        <w:t xml:space="preserve">and because the answer is </w:t>
      </w:r>
      <w:r w:rsidR="00B403E4">
        <w:rPr>
          <w:szCs w:val="28"/>
        </w:rPr>
        <w:t xml:space="preserve">a question of law and </w:t>
      </w:r>
      <w:r w:rsidRPr="00CB6C0D">
        <w:rPr>
          <w:szCs w:val="28"/>
        </w:rPr>
        <w:t xml:space="preserve">beyond the Committee’s scope, </w:t>
      </w:r>
      <w:r w:rsidR="0063247E" w:rsidRPr="0063247E">
        <w:rPr>
          <w:i/>
          <w:iCs/>
          <w:szCs w:val="28"/>
        </w:rPr>
        <w:t xml:space="preserve">see </w:t>
      </w:r>
      <w:r w:rsidR="00881815" w:rsidRPr="00881815">
        <w:rPr>
          <w:szCs w:val="28"/>
        </w:rPr>
        <w:t>Ariz. R. Sup. Ct. 42.1(c)(3)</w:t>
      </w:r>
      <w:r w:rsidR="00881815">
        <w:rPr>
          <w:szCs w:val="28"/>
        </w:rPr>
        <w:t>,</w:t>
      </w:r>
      <w:r w:rsidR="00881815" w:rsidRPr="00881815">
        <w:rPr>
          <w:szCs w:val="28"/>
        </w:rPr>
        <w:t xml:space="preserve"> </w:t>
      </w:r>
      <w:r w:rsidRPr="00CB6C0D">
        <w:rPr>
          <w:szCs w:val="28"/>
        </w:rPr>
        <w:t>the committee respectfully requests the Court</w:t>
      </w:r>
      <w:r w:rsidR="001157F8">
        <w:rPr>
          <w:szCs w:val="28"/>
        </w:rPr>
        <w:t xml:space="preserve"> clarify Arizona lawyers</w:t>
      </w:r>
      <w:r w:rsidR="00B63D80">
        <w:rPr>
          <w:szCs w:val="28"/>
        </w:rPr>
        <w:t>’</w:t>
      </w:r>
      <w:r w:rsidR="001157F8">
        <w:rPr>
          <w:szCs w:val="28"/>
        </w:rPr>
        <w:t xml:space="preserve"> ethical responsibility</w:t>
      </w:r>
      <w:r w:rsidR="009B6209">
        <w:rPr>
          <w:szCs w:val="28"/>
        </w:rPr>
        <w:t xml:space="preserve"> </w:t>
      </w:r>
      <w:r w:rsidR="00B63D80">
        <w:rPr>
          <w:szCs w:val="28"/>
        </w:rPr>
        <w:t xml:space="preserve">when </w:t>
      </w:r>
      <w:r w:rsidR="00B63D80">
        <w:rPr>
          <w:szCs w:val="28"/>
        </w:rPr>
        <w:lastRenderedPageBreak/>
        <w:t>advising clients who</w:t>
      </w:r>
      <w:r w:rsidR="007961EA">
        <w:rPr>
          <w:szCs w:val="28"/>
        </w:rPr>
        <w:t xml:space="preserve"> currently</w:t>
      </w:r>
      <w:r w:rsidR="00B63D80">
        <w:rPr>
          <w:szCs w:val="28"/>
        </w:rPr>
        <w:t xml:space="preserve"> </w:t>
      </w:r>
      <w:r w:rsidR="00EC1761">
        <w:rPr>
          <w:szCs w:val="28"/>
        </w:rPr>
        <w:t>conduct</w:t>
      </w:r>
      <w:r w:rsidR="007961EA">
        <w:rPr>
          <w:szCs w:val="28"/>
        </w:rPr>
        <w:t>, or wish to conduct,</w:t>
      </w:r>
      <w:r w:rsidR="00EC1761">
        <w:rPr>
          <w:szCs w:val="28"/>
        </w:rPr>
        <w:t xml:space="preserve"> business under the protections of the </w:t>
      </w:r>
      <w:r w:rsidR="00F00EAE">
        <w:rPr>
          <w:szCs w:val="28"/>
        </w:rPr>
        <w:t>marijuana laws</w:t>
      </w:r>
      <w:r w:rsidR="00EC1761">
        <w:rPr>
          <w:szCs w:val="28"/>
        </w:rPr>
        <w:t>.</w:t>
      </w:r>
    </w:p>
    <w:p w14:paraId="083E64E2" w14:textId="6E978DCD" w:rsidR="00B513CF" w:rsidRPr="00B513CF" w:rsidRDefault="000C12C9" w:rsidP="00B513CF">
      <w:pPr>
        <w:pStyle w:val="BodyText"/>
        <w:numPr>
          <w:ilvl w:val="0"/>
          <w:numId w:val="14"/>
        </w:numPr>
        <w:tabs>
          <w:tab w:val="left" w:pos="711"/>
        </w:tabs>
        <w:spacing w:after="240"/>
        <w:jc w:val="both"/>
        <w:rPr>
          <w:b/>
          <w:bCs/>
          <w:szCs w:val="28"/>
        </w:rPr>
      </w:pPr>
      <w:r>
        <w:rPr>
          <w:b/>
          <w:bCs/>
          <w:szCs w:val="28"/>
        </w:rPr>
        <w:t xml:space="preserve">Other Jurisdictions Have Approached </w:t>
      </w:r>
      <w:r w:rsidR="00107B83">
        <w:rPr>
          <w:b/>
          <w:bCs/>
          <w:szCs w:val="28"/>
        </w:rPr>
        <w:t>this</w:t>
      </w:r>
      <w:r>
        <w:rPr>
          <w:b/>
          <w:bCs/>
          <w:szCs w:val="28"/>
        </w:rPr>
        <w:t xml:space="preserve"> Issue in Various Ways. </w:t>
      </w:r>
    </w:p>
    <w:p w14:paraId="465D5E39" w14:textId="6C984C13" w:rsidR="002B09CE" w:rsidRDefault="000C12C9" w:rsidP="003E0189">
      <w:pPr>
        <w:pStyle w:val="BodyText"/>
        <w:tabs>
          <w:tab w:val="left" w:pos="711"/>
        </w:tabs>
        <w:spacing w:line="480" w:lineRule="auto"/>
        <w:jc w:val="both"/>
        <w:rPr>
          <w:szCs w:val="28"/>
        </w:rPr>
      </w:pPr>
      <w:r>
        <w:rPr>
          <w:szCs w:val="28"/>
        </w:rPr>
        <w:tab/>
        <w:t>Although most jurisdictions</w:t>
      </w:r>
      <w:r w:rsidR="00841E72">
        <w:rPr>
          <w:szCs w:val="28"/>
        </w:rPr>
        <w:t xml:space="preserve"> have</w:t>
      </w:r>
      <w:r>
        <w:rPr>
          <w:szCs w:val="28"/>
        </w:rPr>
        <w:t xml:space="preserve"> conclude</w:t>
      </w:r>
      <w:r w:rsidR="00841E72">
        <w:rPr>
          <w:szCs w:val="28"/>
        </w:rPr>
        <w:t>d</w:t>
      </w:r>
      <w:r>
        <w:rPr>
          <w:szCs w:val="28"/>
        </w:rPr>
        <w:t xml:space="preserve"> that the conduct discussed above would </w:t>
      </w:r>
      <w:r w:rsidR="00D771CF">
        <w:rPr>
          <w:szCs w:val="28"/>
        </w:rPr>
        <w:t>violate ER 1.2(d),</w:t>
      </w:r>
      <w:r w:rsidR="00166361" w:rsidRPr="007146E4">
        <w:rPr>
          <w:i/>
          <w:iCs/>
          <w:szCs w:val="28"/>
        </w:rPr>
        <w:t xml:space="preserve"> </w:t>
      </w:r>
      <w:r w:rsidR="00D771CF">
        <w:rPr>
          <w:i/>
          <w:iCs/>
          <w:szCs w:val="28"/>
        </w:rPr>
        <w:t xml:space="preserve">but </w:t>
      </w:r>
      <w:r w:rsidR="00166361" w:rsidRPr="007146E4">
        <w:rPr>
          <w:i/>
          <w:iCs/>
          <w:szCs w:val="28"/>
        </w:rPr>
        <w:t>see</w:t>
      </w:r>
      <w:r w:rsidR="00166361">
        <w:rPr>
          <w:szCs w:val="28"/>
        </w:rPr>
        <w:t xml:space="preserve"> </w:t>
      </w:r>
      <w:r w:rsidR="009F23CB" w:rsidRPr="009748CF">
        <w:rPr>
          <w:szCs w:val="28"/>
        </w:rPr>
        <w:t>Me. Op. 215 (March 1, 2017)</w:t>
      </w:r>
      <w:r w:rsidR="009F23CB" w:rsidRPr="00DB0A34">
        <w:rPr>
          <w:szCs w:val="28"/>
        </w:rPr>
        <w:t xml:space="preserve"> </w:t>
      </w:r>
      <w:r w:rsidR="00394958">
        <w:rPr>
          <w:szCs w:val="28"/>
        </w:rPr>
        <w:t>(“[N]</w:t>
      </w:r>
      <w:r w:rsidR="00394958" w:rsidRPr="00394958">
        <w:rPr>
          <w:szCs w:val="28"/>
        </w:rPr>
        <w:t>otwithstanding current federal marijuana laws, Maine Rule of Professional Conduct 1.2 permits an attorney to counsel or assist clients who are engaged in conduct related to the sale or use of marijuana consistent with Maine’s laws and regulations governing medical and recreational marijuana.</w:t>
      </w:r>
      <w:r w:rsidR="009F23CB" w:rsidRPr="00593C46">
        <w:rPr>
          <w:szCs w:val="28"/>
        </w:rPr>
        <w:t>”</w:t>
      </w:r>
      <w:r w:rsidR="009F23CB">
        <w:rPr>
          <w:szCs w:val="28"/>
        </w:rPr>
        <w:t>)</w:t>
      </w:r>
      <w:r w:rsidR="00480F20">
        <w:rPr>
          <w:szCs w:val="28"/>
        </w:rPr>
        <w:t>,</w:t>
      </w:r>
      <w:r>
        <w:rPr>
          <w:rStyle w:val="FootnoteReference"/>
          <w:szCs w:val="28"/>
        </w:rPr>
        <w:footnoteReference w:id="3"/>
      </w:r>
      <w:r>
        <w:rPr>
          <w:szCs w:val="28"/>
        </w:rPr>
        <w:t xml:space="preserve"> the method by which </w:t>
      </w:r>
      <w:r w:rsidR="00564C42">
        <w:rPr>
          <w:szCs w:val="28"/>
        </w:rPr>
        <w:t>these jurisdictions</w:t>
      </w:r>
      <w:r w:rsidR="00166361">
        <w:rPr>
          <w:szCs w:val="28"/>
        </w:rPr>
        <w:t xml:space="preserve"> go about resolving the issue varies.</w:t>
      </w:r>
    </w:p>
    <w:p w14:paraId="28158BF2" w14:textId="6410D7D8" w:rsidR="00495F1B" w:rsidRDefault="000C12C9" w:rsidP="003E0189">
      <w:pPr>
        <w:pStyle w:val="BodyText"/>
        <w:tabs>
          <w:tab w:val="left" w:pos="711"/>
        </w:tabs>
        <w:spacing w:line="480" w:lineRule="auto"/>
        <w:jc w:val="both"/>
        <w:rPr>
          <w:szCs w:val="28"/>
        </w:rPr>
      </w:pPr>
      <w:r>
        <w:rPr>
          <w:szCs w:val="28"/>
        </w:rPr>
        <w:tab/>
        <w:t>On one end of the spectrum</w:t>
      </w:r>
      <w:r w:rsidR="008067EB" w:rsidRPr="008067EB">
        <w:rPr>
          <w:szCs w:val="28"/>
        </w:rPr>
        <w:t>―</w:t>
      </w:r>
      <w:r w:rsidR="00C121E1">
        <w:rPr>
          <w:szCs w:val="28"/>
        </w:rPr>
        <w:t>while concluding</w:t>
      </w:r>
      <w:r>
        <w:rPr>
          <w:szCs w:val="28"/>
        </w:rPr>
        <w:t xml:space="preserve"> that</w:t>
      </w:r>
      <w:r w:rsidRPr="00CF1963">
        <w:rPr>
          <w:szCs w:val="28"/>
        </w:rPr>
        <w:t xml:space="preserve"> a “lawyer may represent non-profit producers, courier and manufacturers of medical cannabis and approved laboratories, to the extent that representation is not in the form of impermissible </w:t>
      </w:r>
      <w:r w:rsidRPr="00CF1963">
        <w:rPr>
          <w:szCs w:val="28"/>
        </w:rPr>
        <w:lastRenderedPageBreak/>
        <w:t>counseling to engage in or providing ‘assistance’ in the commission of crimes</w:t>
      </w:r>
      <w:r w:rsidR="00C121E1">
        <w:rPr>
          <w:szCs w:val="28"/>
        </w:rPr>
        <w:t>,</w:t>
      </w:r>
      <w:r w:rsidRPr="00CF1963">
        <w:rPr>
          <w:szCs w:val="28"/>
        </w:rPr>
        <w:t>”</w:t>
      </w:r>
      <w:r w:rsidR="00C121E1">
        <w:rPr>
          <w:szCs w:val="28"/>
        </w:rPr>
        <w:t xml:space="preserve"> New Mexico</w:t>
      </w:r>
      <w:r w:rsidR="008067EB">
        <w:rPr>
          <w:szCs w:val="28"/>
        </w:rPr>
        <w:t>’s</w:t>
      </w:r>
      <w:r w:rsidRPr="00CF1963">
        <w:rPr>
          <w:szCs w:val="28"/>
        </w:rPr>
        <w:t xml:space="preserve"> </w:t>
      </w:r>
      <w:r w:rsidR="00EC44A0">
        <w:rPr>
          <w:szCs w:val="28"/>
        </w:rPr>
        <w:t>Ethics Advisory C</w:t>
      </w:r>
      <w:r w:rsidRPr="00CF1963">
        <w:rPr>
          <w:szCs w:val="28"/>
        </w:rPr>
        <w:t xml:space="preserve">ommittee </w:t>
      </w:r>
      <w:r>
        <w:rPr>
          <w:szCs w:val="28"/>
        </w:rPr>
        <w:t>“</w:t>
      </w:r>
      <w:r w:rsidRPr="00CF1963">
        <w:rPr>
          <w:szCs w:val="28"/>
        </w:rPr>
        <w:t>[wa]s unable to agree as to the exact parameters of ‘assistance</w:t>
      </w:r>
      <w:r w:rsidR="00365A97">
        <w:rPr>
          <w:szCs w:val="28"/>
        </w:rPr>
        <w:t>.</w:t>
      </w:r>
      <w:r w:rsidRPr="00CF1963">
        <w:rPr>
          <w:szCs w:val="28"/>
        </w:rPr>
        <w:t>’”</w:t>
      </w:r>
      <w:r w:rsidR="00365A97">
        <w:rPr>
          <w:szCs w:val="28"/>
        </w:rPr>
        <w:t xml:space="preserve"> </w:t>
      </w:r>
      <w:r w:rsidR="00365A97" w:rsidRPr="00CF1963">
        <w:rPr>
          <w:szCs w:val="28"/>
        </w:rPr>
        <w:t>N</w:t>
      </w:r>
      <w:r w:rsidR="00FE21B3">
        <w:rPr>
          <w:szCs w:val="28"/>
        </w:rPr>
        <w:t>.</w:t>
      </w:r>
      <w:r w:rsidR="00365A97" w:rsidRPr="00CF1963">
        <w:rPr>
          <w:szCs w:val="28"/>
        </w:rPr>
        <w:t>M</w:t>
      </w:r>
      <w:r w:rsidR="00FE21B3">
        <w:rPr>
          <w:szCs w:val="28"/>
        </w:rPr>
        <w:t>.</w:t>
      </w:r>
      <w:r w:rsidR="00365A97" w:rsidRPr="00CF1963">
        <w:rPr>
          <w:szCs w:val="28"/>
        </w:rPr>
        <w:t xml:space="preserve"> Op. 2016-01.</w:t>
      </w:r>
      <w:r w:rsidR="00365A97">
        <w:rPr>
          <w:szCs w:val="28"/>
        </w:rPr>
        <w:t xml:space="preserve"> The committee</w:t>
      </w:r>
      <w:r w:rsidRPr="00CF1963">
        <w:rPr>
          <w:szCs w:val="28"/>
        </w:rPr>
        <w:t xml:space="preserve"> </w:t>
      </w:r>
      <w:r>
        <w:rPr>
          <w:szCs w:val="28"/>
        </w:rPr>
        <w:t>“</w:t>
      </w:r>
      <w:r w:rsidRPr="00CF1963">
        <w:rPr>
          <w:szCs w:val="28"/>
        </w:rPr>
        <w:t>fe</w:t>
      </w:r>
      <w:r>
        <w:rPr>
          <w:szCs w:val="28"/>
        </w:rPr>
        <w:t>[lt]</w:t>
      </w:r>
      <w:r w:rsidRPr="00CF1963">
        <w:rPr>
          <w:szCs w:val="28"/>
        </w:rPr>
        <w:t xml:space="preserve"> that attorneys must analyze the issue of “assistance” for themselves, based upon the specific facts of the situation </w:t>
      </w:r>
      <w:r w:rsidR="00365A97" w:rsidRPr="00CF1963">
        <w:rPr>
          <w:szCs w:val="28"/>
        </w:rPr>
        <w:t>bear</w:t>
      </w:r>
      <w:r w:rsidR="00365A97">
        <w:rPr>
          <w:szCs w:val="28"/>
        </w:rPr>
        <w:t xml:space="preserve">ing </w:t>
      </w:r>
      <w:r w:rsidR="00365A97" w:rsidRPr="00CF1963">
        <w:rPr>
          <w:szCs w:val="28"/>
        </w:rPr>
        <w:t xml:space="preserve">in mind that that line may be tested through a disciplinary complaint.” </w:t>
      </w:r>
      <w:r w:rsidR="00365A97" w:rsidRPr="001D1E1F">
        <w:rPr>
          <w:i/>
          <w:iCs/>
          <w:szCs w:val="28"/>
        </w:rPr>
        <w:t>Id.</w:t>
      </w:r>
      <w:r w:rsidR="00365A97">
        <w:rPr>
          <w:szCs w:val="28"/>
        </w:rPr>
        <w:t xml:space="preserve"> </w:t>
      </w:r>
      <w:r>
        <w:rPr>
          <w:szCs w:val="28"/>
        </w:rPr>
        <w:t>The New Mexico Supreme Court has not offered any additional guidance</w:t>
      </w:r>
      <w:r w:rsidR="00591BAE">
        <w:rPr>
          <w:szCs w:val="28"/>
        </w:rPr>
        <w:t xml:space="preserve">, leaving </w:t>
      </w:r>
      <w:r w:rsidR="002A07FF">
        <w:rPr>
          <w:szCs w:val="28"/>
        </w:rPr>
        <w:t>lawyers</w:t>
      </w:r>
      <w:r w:rsidR="00591BAE">
        <w:rPr>
          <w:szCs w:val="28"/>
        </w:rPr>
        <w:t xml:space="preserve"> to discover the </w:t>
      </w:r>
      <w:r w:rsidR="002A07FF">
        <w:rPr>
          <w:szCs w:val="28"/>
        </w:rPr>
        <w:t>r</w:t>
      </w:r>
      <w:r w:rsidR="00591BAE">
        <w:rPr>
          <w:szCs w:val="28"/>
        </w:rPr>
        <w:t>ules</w:t>
      </w:r>
      <w:r w:rsidR="002A07FF">
        <w:rPr>
          <w:szCs w:val="28"/>
        </w:rPr>
        <w:t>’</w:t>
      </w:r>
      <w:r w:rsidR="00591BAE">
        <w:rPr>
          <w:szCs w:val="28"/>
        </w:rPr>
        <w:t xml:space="preserve"> limitations through discipli</w:t>
      </w:r>
      <w:r w:rsidR="0091629B">
        <w:rPr>
          <w:szCs w:val="28"/>
        </w:rPr>
        <w:t>ne</w:t>
      </w:r>
      <w:r>
        <w:rPr>
          <w:szCs w:val="28"/>
        </w:rPr>
        <w:t>.</w:t>
      </w:r>
    </w:p>
    <w:p w14:paraId="709AFD42" w14:textId="77777777" w:rsidR="00267490" w:rsidRDefault="000C12C9" w:rsidP="001D0AB0">
      <w:pPr>
        <w:pStyle w:val="BodyText"/>
        <w:tabs>
          <w:tab w:val="left" w:pos="711"/>
        </w:tabs>
        <w:spacing w:line="480" w:lineRule="auto"/>
        <w:jc w:val="both"/>
        <w:rPr>
          <w:szCs w:val="28"/>
        </w:rPr>
      </w:pPr>
      <w:r>
        <w:rPr>
          <w:szCs w:val="28"/>
        </w:rPr>
        <w:tab/>
      </w:r>
      <w:r w:rsidR="00265179">
        <w:rPr>
          <w:szCs w:val="28"/>
        </w:rPr>
        <w:t xml:space="preserve">Although Florida and Massachusetts have not </w:t>
      </w:r>
      <w:r w:rsidR="003959D3">
        <w:rPr>
          <w:szCs w:val="28"/>
        </w:rPr>
        <w:t xml:space="preserve">provided an opinion on the propriety of the conduct under the rule, their respective </w:t>
      </w:r>
      <w:r w:rsidR="0096223D">
        <w:rPr>
          <w:szCs w:val="28"/>
        </w:rPr>
        <w:t xml:space="preserve">state bars </w:t>
      </w:r>
      <w:r w:rsidR="007500BC">
        <w:rPr>
          <w:szCs w:val="28"/>
        </w:rPr>
        <w:t>adopted a</w:t>
      </w:r>
      <w:r w:rsidR="002D3CFD">
        <w:rPr>
          <w:szCs w:val="28"/>
        </w:rPr>
        <w:t xml:space="preserve"> </w:t>
      </w:r>
      <w:r w:rsidR="007500BC">
        <w:rPr>
          <w:szCs w:val="28"/>
        </w:rPr>
        <w:t>formal policy</w:t>
      </w:r>
      <w:r w:rsidR="00281EE3">
        <w:rPr>
          <w:szCs w:val="28"/>
        </w:rPr>
        <w:t xml:space="preserve"> </w:t>
      </w:r>
      <w:r w:rsidR="002B3672">
        <w:rPr>
          <w:szCs w:val="28"/>
        </w:rPr>
        <w:t xml:space="preserve">not to prosecute </w:t>
      </w:r>
      <w:r w:rsidR="002D3CFD">
        <w:rPr>
          <w:szCs w:val="28"/>
        </w:rPr>
        <w:t xml:space="preserve">lawyers </w:t>
      </w:r>
      <w:r w:rsidR="00500F8C">
        <w:rPr>
          <w:szCs w:val="28"/>
        </w:rPr>
        <w:t xml:space="preserve">for advising clients about marijuana law. </w:t>
      </w:r>
      <w:r w:rsidR="00500F8C" w:rsidRPr="00500F8C">
        <w:rPr>
          <w:i/>
          <w:iCs/>
          <w:szCs w:val="28"/>
        </w:rPr>
        <w:t>See</w:t>
      </w:r>
      <w:r w:rsidR="00500F8C">
        <w:rPr>
          <w:szCs w:val="28"/>
        </w:rPr>
        <w:t xml:space="preserve"> </w:t>
      </w:r>
      <w:r w:rsidR="004D0537">
        <w:rPr>
          <w:szCs w:val="28"/>
        </w:rPr>
        <w:t xml:space="preserve">Gary Blankenship, </w:t>
      </w:r>
      <w:r w:rsidR="004D0537" w:rsidRPr="002F28DB">
        <w:rPr>
          <w:i/>
          <w:iCs/>
          <w:szCs w:val="28"/>
        </w:rPr>
        <w:t xml:space="preserve">Board adopts a </w:t>
      </w:r>
      <w:r w:rsidR="004C3CFD" w:rsidRPr="002F28DB">
        <w:rPr>
          <w:i/>
          <w:iCs/>
          <w:szCs w:val="28"/>
        </w:rPr>
        <w:t>medical marijuana advice policy</w:t>
      </w:r>
      <w:r w:rsidR="004F64CF">
        <w:rPr>
          <w:szCs w:val="28"/>
        </w:rPr>
        <w:t xml:space="preserve">, </w:t>
      </w:r>
      <w:r w:rsidR="00C14A0A">
        <w:rPr>
          <w:szCs w:val="28"/>
        </w:rPr>
        <w:t xml:space="preserve">The </w:t>
      </w:r>
      <w:r w:rsidR="004F64CF">
        <w:rPr>
          <w:szCs w:val="28"/>
        </w:rPr>
        <w:t>Florida</w:t>
      </w:r>
      <w:r w:rsidR="00C14A0A">
        <w:rPr>
          <w:szCs w:val="28"/>
        </w:rPr>
        <w:t xml:space="preserve"> </w:t>
      </w:r>
      <w:r w:rsidR="004F64CF">
        <w:rPr>
          <w:szCs w:val="28"/>
        </w:rPr>
        <w:t>Bar</w:t>
      </w:r>
      <w:r w:rsidR="004C3CFD">
        <w:rPr>
          <w:szCs w:val="28"/>
        </w:rPr>
        <w:t xml:space="preserve"> (June </w:t>
      </w:r>
      <w:r w:rsidR="002F28DB">
        <w:rPr>
          <w:szCs w:val="28"/>
        </w:rPr>
        <w:t>15, 2014</w:t>
      </w:r>
      <w:r w:rsidR="004C3CFD">
        <w:rPr>
          <w:szCs w:val="28"/>
        </w:rPr>
        <w:t>)</w:t>
      </w:r>
      <w:r w:rsidR="004F64CF">
        <w:rPr>
          <w:szCs w:val="28"/>
        </w:rPr>
        <w:t>,</w:t>
      </w:r>
      <w:r w:rsidR="004C3CFD">
        <w:rPr>
          <w:szCs w:val="28"/>
        </w:rPr>
        <w:t xml:space="preserve"> </w:t>
      </w:r>
      <w:r w:rsidR="00CE19F7" w:rsidRPr="003A6E00">
        <w:rPr>
          <w:szCs w:val="28"/>
        </w:rPr>
        <w:t>https://www.floridabar.org/the-florida-bar-news/board-adopts-medical-marijuana-advice-policy/</w:t>
      </w:r>
      <w:r w:rsidR="00CE19F7">
        <w:rPr>
          <w:szCs w:val="28"/>
        </w:rPr>
        <w:t xml:space="preserve"> (</w:t>
      </w:r>
      <w:r w:rsidR="00CE19F7" w:rsidRPr="00CE19F7">
        <w:rPr>
          <w:szCs w:val="28"/>
        </w:rPr>
        <w:t>the</w:t>
      </w:r>
      <w:r w:rsidR="001761F5">
        <w:rPr>
          <w:szCs w:val="28"/>
        </w:rPr>
        <w:t xml:space="preserve"> Florida </w:t>
      </w:r>
      <w:r w:rsidR="00CE19F7" w:rsidRPr="00CE19F7">
        <w:rPr>
          <w:szCs w:val="28"/>
        </w:rPr>
        <w:t>Bar Board of Governors</w:t>
      </w:r>
      <w:r w:rsidR="001761F5">
        <w:rPr>
          <w:szCs w:val="28"/>
        </w:rPr>
        <w:t xml:space="preserve"> “</w:t>
      </w:r>
      <w:r w:rsidR="00CE19F7" w:rsidRPr="00CE19F7">
        <w:rPr>
          <w:szCs w:val="28"/>
        </w:rPr>
        <w:t>adopted a policy not to prosecute Bar members for misconduct if they advise clients about the new state law — as long as they also remind clients about federal law</w:t>
      </w:r>
      <w:r w:rsidR="001761F5">
        <w:rPr>
          <w:szCs w:val="28"/>
        </w:rPr>
        <w:t>”</w:t>
      </w:r>
      <w:r w:rsidR="00CE19F7">
        <w:rPr>
          <w:szCs w:val="28"/>
        </w:rPr>
        <w:t>)</w:t>
      </w:r>
      <w:r w:rsidR="00500F8C">
        <w:rPr>
          <w:szCs w:val="28"/>
        </w:rPr>
        <w:t>;</w:t>
      </w:r>
      <w:r w:rsidR="000D7ABF">
        <w:rPr>
          <w:szCs w:val="28"/>
        </w:rPr>
        <w:t xml:space="preserve"> </w:t>
      </w:r>
      <w:r w:rsidR="00057E4D">
        <w:rPr>
          <w:szCs w:val="28"/>
        </w:rPr>
        <w:t xml:space="preserve">Massachusetts Board of Bar Overseers, </w:t>
      </w:r>
      <w:r w:rsidR="00057E4D" w:rsidRPr="00267490">
        <w:rPr>
          <w:i/>
          <w:iCs/>
          <w:szCs w:val="28"/>
        </w:rPr>
        <w:t>BBO/OBC Policy on Legal Advice on</w:t>
      </w:r>
      <w:r w:rsidR="004B478D" w:rsidRPr="00267490">
        <w:rPr>
          <w:i/>
          <w:iCs/>
          <w:szCs w:val="28"/>
        </w:rPr>
        <w:t xml:space="preserve"> </w:t>
      </w:r>
      <w:r w:rsidR="00057E4D" w:rsidRPr="00267490">
        <w:rPr>
          <w:i/>
          <w:iCs/>
          <w:szCs w:val="28"/>
        </w:rPr>
        <w:t>Marijuana</w:t>
      </w:r>
      <w:r w:rsidR="004B478D">
        <w:rPr>
          <w:szCs w:val="28"/>
        </w:rPr>
        <w:t xml:space="preserve"> (Mar. 29, 2017), </w:t>
      </w:r>
      <w:r w:rsidR="000D7ABF" w:rsidRPr="000D7ABF">
        <w:rPr>
          <w:szCs w:val="28"/>
        </w:rPr>
        <w:t>https://www.massbbo.org/Announcements?id=a0P360</w:t>
      </w:r>
    </w:p>
    <w:p w14:paraId="1096D4DD" w14:textId="5EC96E58" w:rsidR="00A762C7" w:rsidRDefault="000C12C9" w:rsidP="001D0AB0">
      <w:pPr>
        <w:pStyle w:val="BodyText"/>
        <w:tabs>
          <w:tab w:val="left" w:pos="711"/>
        </w:tabs>
        <w:spacing w:line="480" w:lineRule="auto"/>
        <w:jc w:val="both"/>
        <w:rPr>
          <w:szCs w:val="28"/>
        </w:rPr>
      </w:pPr>
      <w:r w:rsidRPr="000D7ABF">
        <w:rPr>
          <w:szCs w:val="28"/>
        </w:rPr>
        <w:t>00009Yzb3EAC</w:t>
      </w:r>
      <w:r w:rsidR="004B478D">
        <w:t xml:space="preserve"> </w:t>
      </w:r>
      <w:r w:rsidR="00F268C0">
        <w:t>(“</w:t>
      </w:r>
      <w:r w:rsidR="00F268C0" w:rsidRPr="00F268C0">
        <w:rPr>
          <w:szCs w:val="28"/>
        </w:rPr>
        <w:t xml:space="preserve">The Massachusetts Board of Bar Overseers and Office of the Bar Counsel will not prosecute a member of the Massachusetts bar solely for advising a client regarding the validity, scope, and meaning of Massachusetts statutes and laws </w:t>
      </w:r>
      <w:r w:rsidR="00F268C0" w:rsidRPr="00F268C0">
        <w:rPr>
          <w:szCs w:val="28"/>
        </w:rPr>
        <w:lastRenderedPageBreak/>
        <w:t>regarding medical or other legal forms of marijuana or for assisting a client in conduct that the lawyer reasonably believes is permitted by Massachusetts statutes, regulations, orders, and other state or local provisions implementing them, as long as the lawyer also advises the client regarding related federal law and policy.</w:t>
      </w:r>
      <w:r w:rsidR="00F268C0">
        <w:rPr>
          <w:szCs w:val="28"/>
        </w:rPr>
        <w:t>”).</w:t>
      </w:r>
    </w:p>
    <w:p w14:paraId="22E46735" w14:textId="03F2468B" w:rsidR="009C0FB5" w:rsidRDefault="000C12C9" w:rsidP="001D0AB0">
      <w:pPr>
        <w:pStyle w:val="BodyText"/>
        <w:tabs>
          <w:tab w:val="left" w:pos="711"/>
        </w:tabs>
        <w:spacing w:line="480" w:lineRule="auto"/>
        <w:jc w:val="both"/>
        <w:rPr>
          <w:szCs w:val="28"/>
        </w:rPr>
      </w:pPr>
      <w:r>
        <w:rPr>
          <w:szCs w:val="28"/>
        </w:rPr>
        <w:tab/>
      </w:r>
      <w:r w:rsidR="00CB2120">
        <w:rPr>
          <w:szCs w:val="28"/>
        </w:rPr>
        <w:t>Others, like Maine,</w:t>
      </w:r>
      <w:r w:rsidR="009B7F92">
        <w:rPr>
          <w:szCs w:val="28"/>
        </w:rPr>
        <w:t xml:space="preserve"> </w:t>
      </w:r>
      <w:r w:rsidR="00431A2B">
        <w:rPr>
          <w:szCs w:val="28"/>
        </w:rPr>
        <w:t>permit the conduct through ethics opinion</w:t>
      </w:r>
      <w:r w:rsidR="00076D76">
        <w:rPr>
          <w:szCs w:val="28"/>
        </w:rPr>
        <w:t>s</w:t>
      </w:r>
      <w:r w:rsidR="00431A2B">
        <w:rPr>
          <w:szCs w:val="28"/>
        </w:rPr>
        <w:t xml:space="preserve">. </w:t>
      </w:r>
      <w:r w:rsidR="00431A2B" w:rsidRPr="00C82D9D">
        <w:rPr>
          <w:i/>
          <w:iCs/>
          <w:szCs w:val="28"/>
        </w:rPr>
        <w:t>See</w:t>
      </w:r>
      <w:r w:rsidR="00A10FE4">
        <w:rPr>
          <w:szCs w:val="28"/>
        </w:rPr>
        <w:t xml:space="preserve"> </w:t>
      </w:r>
      <w:r w:rsidR="00431A2B" w:rsidRPr="009748CF">
        <w:rPr>
          <w:szCs w:val="28"/>
        </w:rPr>
        <w:t xml:space="preserve">Me. Op. 215 </w:t>
      </w:r>
      <w:r w:rsidR="00431A2B">
        <w:rPr>
          <w:szCs w:val="28"/>
        </w:rPr>
        <w:t xml:space="preserve">(although </w:t>
      </w:r>
      <w:r w:rsidR="00B82E3D">
        <w:rPr>
          <w:szCs w:val="28"/>
        </w:rPr>
        <w:t>the rules committee</w:t>
      </w:r>
      <w:r w:rsidR="00431A2B" w:rsidRPr="009748CF">
        <w:rPr>
          <w:szCs w:val="28"/>
        </w:rPr>
        <w:t xml:space="preserve"> </w:t>
      </w:r>
      <w:r w:rsidR="009748CF" w:rsidRPr="009748CF">
        <w:rPr>
          <w:szCs w:val="28"/>
        </w:rPr>
        <w:t xml:space="preserve">“felt it unwise to craft a rule of general applicability for this specific issue,” </w:t>
      </w:r>
      <w:r w:rsidR="00431A2B">
        <w:rPr>
          <w:szCs w:val="28"/>
        </w:rPr>
        <w:t>it</w:t>
      </w:r>
      <w:r w:rsidR="009748CF" w:rsidRPr="009748CF">
        <w:rPr>
          <w:szCs w:val="28"/>
        </w:rPr>
        <w:t xml:space="preserve"> instead</w:t>
      </w:r>
      <w:r w:rsidR="00B82E3D">
        <w:rPr>
          <w:szCs w:val="28"/>
        </w:rPr>
        <w:t xml:space="preserve"> suggested</w:t>
      </w:r>
      <w:r w:rsidR="00593C46">
        <w:rPr>
          <w:szCs w:val="28"/>
        </w:rPr>
        <w:t xml:space="preserve"> </w:t>
      </w:r>
      <w:r w:rsidR="00593C46" w:rsidRPr="00593C46">
        <w:rPr>
          <w:szCs w:val="28"/>
        </w:rPr>
        <w:t>a new opinion clarifying “that counseling or assisting a client to engage in conduct that conforms to Maine laws regarding marijuana does not violate Rule 1.2”</w:t>
      </w:r>
      <w:r w:rsidR="00431A2B">
        <w:rPr>
          <w:szCs w:val="28"/>
        </w:rPr>
        <w:t>)</w:t>
      </w:r>
      <w:r w:rsidR="000C1642">
        <w:rPr>
          <w:szCs w:val="28"/>
        </w:rPr>
        <w:t xml:space="preserve">. </w:t>
      </w:r>
      <w:r w:rsidR="00AD64A2">
        <w:rPr>
          <w:szCs w:val="28"/>
        </w:rPr>
        <w:t>S</w:t>
      </w:r>
      <w:r w:rsidR="00165A39">
        <w:rPr>
          <w:szCs w:val="28"/>
        </w:rPr>
        <w:t>ome state</w:t>
      </w:r>
      <w:r w:rsidR="00AD64A2">
        <w:rPr>
          <w:szCs w:val="28"/>
        </w:rPr>
        <w:t>s’</w:t>
      </w:r>
      <w:r w:rsidR="00165A39">
        <w:rPr>
          <w:szCs w:val="28"/>
        </w:rPr>
        <w:t xml:space="preserve"> supreme courts</w:t>
      </w:r>
      <w:r w:rsidR="00AD64A2">
        <w:rPr>
          <w:szCs w:val="28"/>
        </w:rPr>
        <w:t xml:space="preserve">, including Nevada and Vermont, </w:t>
      </w:r>
      <w:r w:rsidR="00037DBF">
        <w:rPr>
          <w:szCs w:val="28"/>
        </w:rPr>
        <w:t xml:space="preserve">added </w:t>
      </w:r>
      <w:r w:rsidR="00BC2409">
        <w:rPr>
          <w:szCs w:val="28"/>
        </w:rPr>
        <w:t xml:space="preserve">a </w:t>
      </w:r>
      <w:r w:rsidR="00037DBF">
        <w:rPr>
          <w:szCs w:val="28"/>
        </w:rPr>
        <w:t xml:space="preserve">comment to clarify lawyers’ obligations </w:t>
      </w:r>
      <w:r w:rsidR="00BC2409">
        <w:rPr>
          <w:szCs w:val="28"/>
        </w:rPr>
        <w:t>concerning</w:t>
      </w:r>
      <w:r w:rsidR="00037DBF">
        <w:rPr>
          <w:szCs w:val="28"/>
        </w:rPr>
        <w:t xml:space="preserve"> advising clients on matters where state law and federal law may conflict or </w:t>
      </w:r>
      <w:r w:rsidR="00B91614">
        <w:rPr>
          <w:szCs w:val="28"/>
        </w:rPr>
        <w:t xml:space="preserve">narrow the comment </w:t>
      </w:r>
      <w:r w:rsidR="00BC2409">
        <w:rPr>
          <w:szCs w:val="28"/>
        </w:rPr>
        <w:t>to address marijuana specifically</w:t>
      </w:r>
      <w:r w:rsidR="00AD64A2">
        <w:rPr>
          <w:szCs w:val="28"/>
        </w:rPr>
        <w:t xml:space="preserve">. </w:t>
      </w:r>
      <w:r w:rsidR="00BD0EFB" w:rsidRPr="000C1642">
        <w:rPr>
          <w:i/>
          <w:iCs/>
          <w:szCs w:val="28"/>
        </w:rPr>
        <w:t>See</w:t>
      </w:r>
      <w:r w:rsidR="00BD0EFB">
        <w:rPr>
          <w:szCs w:val="28"/>
        </w:rPr>
        <w:t xml:space="preserve"> </w:t>
      </w:r>
      <w:r w:rsidR="009D3F30">
        <w:rPr>
          <w:szCs w:val="28"/>
        </w:rPr>
        <w:t>Nev</w:t>
      </w:r>
      <w:r w:rsidR="00E10289">
        <w:rPr>
          <w:szCs w:val="28"/>
        </w:rPr>
        <w:t>.</w:t>
      </w:r>
      <w:r w:rsidR="009D3F30">
        <w:rPr>
          <w:szCs w:val="28"/>
        </w:rPr>
        <w:t xml:space="preserve"> ER 1.2, cmt. 1</w:t>
      </w:r>
      <w:r w:rsidR="00764DAC">
        <w:rPr>
          <w:szCs w:val="28"/>
        </w:rPr>
        <w:t>; Vt</w:t>
      </w:r>
      <w:r w:rsidR="00CA5985">
        <w:rPr>
          <w:szCs w:val="28"/>
        </w:rPr>
        <w:t>.</w:t>
      </w:r>
      <w:r w:rsidR="00764DAC">
        <w:rPr>
          <w:szCs w:val="28"/>
        </w:rPr>
        <w:t xml:space="preserve"> </w:t>
      </w:r>
      <w:r w:rsidR="00985CE1">
        <w:rPr>
          <w:szCs w:val="28"/>
        </w:rPr>
        <w:t xml:space="preserve">ER </w:t>
      </w:r>
      <w:r w:rsidR="00764DAC">
        <w:rPr>
          <w:szCs w:val="28"/>
        </w:rPr>
        <w:t>1.2</w:t>
      </w:r>
      <w:r w:rsidR="00945358">
        <w:rPr>
          <w:szCs w:val="28"/>
        </w:rPr>
        <w:t>, cmt. 14.</w:t>
      </w:r>
      <w:r w:rsidR="001D3A86">
        <w:rPr>
          <w:szCs w:val="28"/>
        </w:rPr>
        <w:t xml:space="preserve"> </w:t>
      </w:r>
      <w:r w:rsidR="00B91614">
        <w:rPr>
          <w:szCs w:val="28"/>
        </w:rPr>
        <w:t>S</w:t>
      </w:r>
      <w:r w:rsidR="001D3A86">
        <w:rPr>
          <w:szCs w:val="28"/>
        </w:rPr>
        <w:t>everal other states</w:t>
      </w:r>
      <w:r w:rsidR="00D86DA9">
        <w:rPr>
          <w:szCs w:val="28"/>
        </w:rPr>
        <w:t xml:space="preserve">, </w:t>
      </w:r>
      <w:r w:rsidR="00BC2A2D">
        <w:rPr>
          <w:szCs w:val="28"/>
        </w:rPr>
        <w:t xml:space="preserve">some of which are </w:t>
      </w:r>
      <w:r w:rsidR="00D86DA9">
        <w:rPr>
          <w:szCs w:val="28"/>
        </w:rPr>
        <w:t xml:space="preserve">discussed below, </w:t>
      </w:r>
      <w:r w:rsidR="00BC2A2D">
        <w:rPr>
          <w:szCs w:val="28"/>
        </w:rPr>
        <w:t>opted to amend</w:t>
      </w:r>
      <w:r w:rsidR="00D86DA9">
        <w:rPr>
          <w:szCs w:val="28"/>
        </w:rPr>
        <w:t xml:space="preserve"> </w:t>
      </w:r>
      <w:r w:rsidR="00BC2A2D">
        <w:rPr>
          <w:szCs w:val="28"/>
        </w:rPr>
        <w:t>the</w:t>
      </w:r>
      <w:r w:rsidR="00D86DA9">
        <w:rPr>
          <w:szCs w:val="28"/>
        </w:rPr>
        <w:t xml:space="preserve"> rule.</w:t>
      </w:r>
    </w:p>
    <w:p w14:paraId="504803F9" w14:textId="49210622" w:rsidR="00AC3F49" w:rsidRPr="00AC3F49" w:rsidRDefault="000C12C9" w:rsidP="00AC3F49">
      <w:pPr>
        <w:pStyle w:val="BodyText"/>
        <w:numPr>
          <w:ilvl w:val="0"/>
          <w:numId w:val="14"/>
        </w:numPr>
        <w:tabs>
          <w:tab w:val="left" w:pos="711"/>
        </w:tabs>
        <w:spacing w:line="480" w:lineRule="auto"/>
        <w:jc w:val="both"/>
        <w:rPr>
          <w:b/>
          <w:bCs/>
          <w:szCs w:val="28"/>
        </w:rPr>
      </w:pPr>
      <w:r w:rsidRPr="00AC3F49">
        <w:rPr>
          <w:b/>
          <w:bCs/>
          <w:szCs w:val="28"/>
        </w:rPr>
        <w:t>Arizona Should Amend the Rule.</w:t>
      </w:r>
    </w:p>
    <w:p w14:paraId="0AFBBEF6" w14:textId="4BBFB85B" w:rsidR="0016499A" w:rsidRDefault="000C12C9" w:rsidP="005816DA">
      <w:pPr>
        <w:pStyle w:val="BodyText"/>
        <w:tabs>
          <w:tab w:val="left" w:pos="711"/>
        </w:tabs>
        <w:spacing w:line="480" w:lineRule="auto"/>
        <w:jc w:val="both"/>
        <w:rPr>
          <w:szCs w:val="28"/>
        </w:rPr>
      </w:pPr>
      <w:r>
        <w:rPr>
          <w:szCs w:val="28"/>
        </w:rPr>
        <w:tab/>
        <w:t>Despite the AMMA taking effect in 2011, a</w:t>
      </w:r>
      <w:r w:rsidR="00D162C5">
        <w:rPr>
          <w:szCs w:val="28"/>
        </w:rPr>
        <w:t xml:space="preserve">s of 2019, Arizona was one of eleven states without a rule change, comment, or </w:t>
      </w:r>
      <w:r w:rsidR="002C345B">
        <w:rPr>
          <w:szCs w:val="28"/>
        </w:rPr>
        <w:t xml:space="preserve">binding </w:t>
      </w:r>
      <w:r w:rsidR="00D162C5">
        <w:rPr>
          <w:szCs w:val="28"/>
        </w:rPr>
        <w:t>ethics opinion</w:t>
      </w:r>
      <w:r w:rsidR="00D162C5" w:rsidRPr="00BC4607">
        <w:t xml:space="preserve"> </w:t>
      </w:r>
      <w:r w:rsidR="00D162C5" w:rsidRPr="00BC4607">
        <w:rPr>
          <w:szCs w:val="28"/>
        </w:rPr>
        <w:t>permitting lawyers to assist clients in complying with state laws that conflict with federal criminal statutes</w:t>
      </w:r>
      <w:r w:rsidR="00D162C5">
        <w:rPr>
          <w:szCs w:val="28"/>
        </w:rPr>
        <w:t xml:space="preserve">. </w:t>
      </w:r>
      <w:r w:rsidR="00D162C5" w:rsidRPr="00BC4607">
        <w:rPr>
          <w:i/>
          <w:iCs/>
          <w:szCs w:val="28"/>
        </w:rPr>
        <w:t>See</w:t>
      </w:r>
      <w:r w:rsidR="00D162C5">
        <w:rPr>
          <w:szCs w:val="28"/>
        </w:rPr>
        <w:t xml:space="preserve"> </w:t>
      </w:r>
      <w:r w:rsidR="00D162C5" w:rsidRPr="00177F36">
        <w:rPr>
          <w:szCs w:val="28"/>
        </w:rPr>
        <w:t>Rubin</w:t>
      </w:r>
      <w:r w:rsidR="00D162C5" w:rsidRPr="00B13935">
        <w:rPr>
          <w:szCs w:val="28"/>
        </w:rPr>
        <w:t>,</w:t>
      </w:r>
      <w:r w:rsidR="00D162C5" w:rsidRPr="005816DA">
        <w:rPr>
          <w:i/>
          <w:iCs/>
          <w:szCs w:val="28"/>
        </w:rPr>
        <w:t xml:space="preserve"> </w:t>
      </w:r>
      <w:r w:rsidR="00B13935">
        <w:rPr>
          <w:i/>
          <w:iCs/>
          <w:szCs w:val="28"/>
        </w:rPr>
        <w:t>supra</w:t>
      </w:r>
      <w:r w:rsidR="00177F36" w:rsidRPr="00177F36">
        <w:rPr>
          <w:szCs w:val="28"/>
        </w:rPr>
        <w:t xml:space="preserve"> at </w:t>
      </w:r>
      <w:r w:rsidR="00D162C5" w:rsidRPr="00BC4607">
        <w:rPr>
          <w:szCs w:val="28"/>
        </w:rPr>
        <w:t>647–48</w:t>
      </w:r>
      <w:r w:rsidR="00D162C5">
        <w:rPr>
          <w:szCs w:val="28"/>
        </w:rPr>
        <w:t>, n.58</w:t>
      </w:r>
      <w:r w:rsidR="00177F36">
        <w:rPr>
          <w:szCs w:val="28"/>
        </w:rPr>
        <w:t>.</w:t>
      </w:r>
      <w:r w:rsidR="00EA6260" w:rsidRPr="00EA6260">
        <w:rPr>
          <w:szCs w:val="28"/>
        </w:rPr>
        <w:t xml:space="preserve"> </w:t>
      </w:r>
      <w:r w:rsidR="00BC7E91">
        <w:rPr>
          <w:szCs w:val="28"/>
        </w:rPr>
        <w:t xml:space="preserve">After considering the </w:t>
      </w:r>
      <w:r w:rsidR="00F63687">
        <w:rPr>
          <w:szCs w:val="28"/>
        </w:rPr>
        <w:t xml:space="preserve">various </w:t>
      </w:r>
      <w:r w:rsidR="00F63687">
        <w:rPr>
          <w:szCs w:val="28"/>
        </w:rPr>
        <w:lastRenderedPageBreak/>
        <w:t xml:space="preserve">actions (and inaction) taken by other jurisdictions, </w:t>
      </w:r>
      <w:r w:rsidR="00BC7E91">
        <w:rPr>
          <w:szCs w:val="28"/>
        </w:rPr>
        <w:t xml:space="preserve">the Committee </w:t>
      </w:r>
      <w:r w:rsidR="00727B53">
        <w:rPr>
          <w:szCs w:val="28"/>
        </w:rPr>
        <w:t>requests that</w:t>
      </w:r>
      <w:r w:rsidR="00BC7E91">
        <w:rPr>
          <w:szCs w:val="28"/>
        </w:rPr>
        <w:t xml:space="preserve"> the Court </w:t>
      </w:r>
      <w:r w:rsidR="00727B53">
        <w:rPr>
          <w:szCs w:val="28"/>
        </w:rPr>
        <w:t>amend the Rule</w:t>
      </w:r>
      <w:r w:rsidR="00C94094">
        <w:rPr>
          <w:szCs w:val="28"/>
        </w:rPr>
        <w:t xml:space="preserve"> for the following reasons.</w:t>
      </w:r>
    </w:p>
    <w:p w14:paraId="11DD7D13" w14:textId="125D5544" w:rsidR="00032C46" w:rsidRDefault="000C12C9" w:rsidP="00D162C5">
      <w:pPr>
        <w:pStyle w:val="BodyText"/>
        <w:tabs>
          <w:tab w:val="left" w:pos="711"/>
        </w:tabs>
        <w:spacing w:line="480" w:lineRule="auto"/>
        <w:jc w:val="both"/>
        <w:rPr>
          <w:szCs w:val="28"/>
        </w:rPr>
      </w:pPr>
      <w:r>
        <w:rPr>
          <w:szCs w:val="28"/>
        </w:rPr>
        <w:tab/>
      </w:r>
      <w:r w:rsidR="005716B1">
        <w:rPr>
          <w:szCs w:val="28"/>
        </w:rPr>
        <w:t>First, u</w:t>
      </w:r>
      <w:r w:rsidR="00E148A5">
        <w:rPr>
          <w:szCs w:val="28"/>
        </w:rPr>
        <w:t>nlike New Mexico</w:t>
      </w:r>
      <w:r w:rsidR="00BC2409">
        <w:rPr>
          <w:szCs w:val="28"/>
        </w:rPr>
        <w:t>,</w:t>
      </w:r>
      <w:r w:rsidR="00BA38AC">
        <w:rPr>
          <w:szCs w:val="28"/>
        </w:rPr>
        <w:t xml:space="preserve"> where lawyers have always been </w:t>
      </w:r>
      <w:r w:rsidR="00BA2585">
        <w:rPr>
          <w:szCs w:val="28"/>
        </w:rPr>
        <w:t>aware of the risk of discipline</w:t>
      </w:r>
      <w:r w:rsidR="00E148A5">
        <w:rPr>
          <w:szCs w:val="28"/>
        </w:rPr>
        <w:t xml:space="preserve">, Arizona lawyers </w:t>
      </w:r>
      <w:r w:rsidR="003246F4">
        <w:rPr>
          <w:szCs w:val="28"/>
        </w:rPr>
        <w:t>must</w:t>
      </w:r>
      <w:r w:rsidR="00BC2409">
        <w:rPr>
          <w:szCs w:val="28"/>
        </w:rPr>
        <w:t xml:space="preserve"> rely</w:t>
      </w:r>
      <w:r w:rsidR="003840A7" w:rsidRPr="003840A7">
        <w:rPr>
          <w:szCs w:val="28"/>
        </w:rPr>
        <w:t xml:space="preserve"> on</w:t>
      </w:r>
      <w:r w:rsidR="003840A7">
        <w:rPr>
          <w:szCs w:val="28"/>
        </w:rPr>
        <w:t xml:space="preserve"> the </w:t>
      </w:r>
      <w:r w:rsidR="00C958E5">
        <w:rPr>
          <w:szCs w:val="28"/>
        </w:rPr>
        <w:t>non-binding Opinion</w:t>
      </w:r>
      <w:r w:rsidR="003840A7" w:rsidRPr="003840A7">
        <w:rPr>
          <w:szCs w:val="28"/>
        </w:rPr>
        <w:t xml:space="preserve">. </w:t>
      </w:r>
      <w:r w:rsidR="003840A7" w:rsidRPr="00C958E5">
        <w:rPr>
          <w:i/>
          <w:iCs/>
          <w:szCs w:val="28"/>
        </w:rPr>
        <w:t>See</w:t>
      </w:r>
      <w:r w:rsidR="003840A7" w:rsidRPr="003840A7">
        <w:rPr>
          <w:szCs w:val="28"/>
        </w:rPr>
        <w:t xml:space="preserve"> Gary Michael Smith, </w:t>
      </w:r>
      <w:r w:rsidR="003840A7" w:rsidRPr="00C958E5">
        <w:rPr>
          <w:i/>
          <w:iCs/>
          <w:szCs w:val="28"/>
        </w:rPr>
        <w:t>Letters from Marijuana Land-the First Decade</w:t>
      </w:r>
      <w:r w:rsidR="003840A7" w:rsidRPr="003840A7">
        <w:rPr>
          <w:szCs w:val="28"/>
        </w:rPr>
        <w:t>, Ariz. Att</w:t>
      </w:r>
      <w:r w:rsidR="00DD777B">
        <w:rPr>
          <w:szCs w:val="28"/>
        </w:rPr>
        <w:t>’</w:t>
      </w:r>
      <w:r w:rsidR="003840A7" w:rsidRPr="003840A7">
        <w:rPr>
          <w:szCs w:val="28"/>
        </w:rPr>
        <w:t>y, March 2020, at 26 (2020) (“Absent issuance of Ethics Opinion 11-01, Arizona lawyers would have been in ethical limbo. To an extent, given that State Bar Ethics Opinions are non-binding, Arizona</w:t>
      </w:r>
      <w:r w:rsidR="00BE6094">
        <w:rPr>
          <w:szCs w:val="28"/>
        </w:rPr>
        <w:t>’</w:t>
      </w:r>
      <w:r w:rsidR="003840A7" w:rsidRPr="003840A7">
        <w:rPr>
          <w:szCs w:val="28"/>
        </w:rPr>
        <w:t>s marijuana lawyers arguably may still be in that ethical limbo--but maybe more like limbo</w:t>
      </w:r>
      <w:r w:rsidR="00BE6094">
        <w:rPr>
          <w:szCs w:val="28"/>
        </w:rPr>
        <w:t>’</w:t>
      </w:r>
      <w:r w:rsidR="003840A7" w:rsidRPr="003840A7">
        <w:rPr>
          <w:szCs w:val="28"/>
        </w:rPr>
        <w:t>s lobby rather than limbo</w:t>
      </w:r>
      <w:r w:rsidR="00BE6094">
        <w:rPr>
          <w:szCs w:val="28"/>
        </w:rPr>
        <w:t>’</w:t>
      </w:r>
      <w:r w:rsidR="003840A7" w:rsidRPr="003840A7">
        <w:rPr>
          <w:szCs w:val="28"/>
        </w:rPr>
        <w:t>s main floor.”).</w:t>
      </w:r>
      <w:r w:rsidR="00C177C5">
        <w:rPr>
          <w:szCs w:val="28"/>
        </w:rPr>
        <w:t xml:space="preserve"> </w:t>
      </w:r>
      <w:r w:rsidR="00BB4A33" w:rsidRPr="00BB4A33">
        <w:rPr>
          <w:szCs w:val="28"/>
        </w:rPr>
        <w:t>Since 2011 many lawyers and their clients have made career decisions based on the Opinion. This is a rapidly changing area of law</w:t>
      </w:r>
      <w:r w:rsidR="006F1DFD">
        <w:rPr>
          <w:szCs w:val="28"/>
        </w:rPr>
        <w:t>. I</w:t>
      </w:r>
      <w:r w:rsidR="00BB4A33" w:rsidRPr="00BB4A33">
        <w:rPr>
          <w:szCs w:val="28"/>
        </w:rPr>
        <w:t xml:space="preserve">t would be a disservice to the lawyers and their clients to </w:t>
      </w:r>
      <w:r w:rsidR="00BB4A33">
        <w:rPr>
          <w:szCs w:val="28"/>
        </w:rPr>
        <w:t xml:space="preserve">abruptly announce that </w:t>
      </w:r>
      <w:r w:rsidR="00855D8F">
        <w:rPr>
          <w:szCs w:val="28"/>
        </w:rPr>
        <w:t xml:space="preserve">reliance on the Opinion was misplaced and that lawyers </w:t>
      </w:r>
      <w:r w:rsidR="002349B4">
        <w:rPr>
          <w:szCs w:val="28"/>
        </w:rPr>
        <w:t xml:space="preserve">who </w:t>
      </w:r>
      <w:r w:rsidR="00855D8F">
        <w:rPr>
          <w:szCs w:val="28"/>
        </w:rPr>
        <w:t xml:space="preserve">provide legal services </w:t>
      </w:r>
      <w:r w:rsidR="00BC2409">
        <w:rPr>
          <w:szCs w:val="28"/>
        </w:rPr>
        <w:t>concerning</w:t>
      </w:r>
      <w:r w:rsidR="002349B4">
        <w:rPr>
          <w:szCs w:val="28"/>
        </w:rPr>
        <w:t xml:space="preserve"> the </w:t>
      </w:r>
      <w:r w:rsidR="00F00EAE">
        <w:rPr>
          <w:szCs w:val="28"/>
        </w:rPr>
        <w:t xml:space="preserve">marijuana laws </w:t>
      </w:r>
      <w:r w:rsidR="002349B4">
        <w:rPr>
          <w:szCs w:val="28"/>
        </w:rPr>
        <w:t>are now subject to discipline for such conduct.</w:t>
      </w:r>
    </w:p>
    <w:p w14:paraId="552AC566" w14:textId="5EFC6055" w:rsidR="0054386F" w:rsidRDefault="000C12C9" w:rsidP="00970CAA">
      <w:pPr>
        <w:pStyle w:val="BodyText"/>
        <w:tabs>
          <w:tab w:val="left" w:pos="711"/>
        </w:tabs>
        <w:spacing w:line="480" w:lineRule="auto"/>
        <w:jc w:val="both"/>
        <w:rPr>
          <w:szCs w:val="28"/>
        </w:rPr>
      </w:pPr>
      <w:r>
        <w:rPr>
          <w:szCs w:val="28"/>
        </w:rPr>
        <w:tab/>
        <w:t>And a</w:t>
      </w:r>
      <w:r w:rsidR="00C177C5">
        <w:rPr>
          <w:szCs w:val="28"/>
        </w:rPr>
        <w:t xml:space="preserve">lthough </w:t>
      </w:r>
      <w:r w:rsidR="00AB3F04">
        <w:rPr>
          <w:szCs w:val="28"/>
        </w:rPr>
        <w:t xml:space="preserve">in 2010 </w:t>
      </w:r>
      <w:r w:rsidR="00C177C5">
        <w:rPr>
          <w:szCs w:val="28"/>
        </w:rPr>
        <w:t xml:space="preserve">the Arizona State Bar </w:t>
      </w:r>
      <w:r w:rsidR="00AB3F04" w:rsidRPr="00AB3F04">
        <w:rPr>
          <w:szCs w:val="28"/>
        </w:rPr>
        <w:t xml:space="preserve">notified lawyers that guidance on the AMMA would be provided </w:t>
      </w:r>
      <w:r w:rsidR="00BC2409">
        <w:rPr>
          <w:szCs w:val="28"/>
        </w:rPr>
        <w:t>before</w:t>
      </w:r>
      <w:r w:rsidR="00AB3F04" w:rsidRPr="00AB3F04">
        <w:rPr>
          <w:szCs w:val="28"/>
        </w:rPr>
        <w:t xml:space="preserve"> the act’s effective date and it would not pursue discipline against lawyers who advised on compliance with the AMMA “in the interim</w:t>
      </w:r>
      <w:r w:rsidR="00310F5A">
        <w:rPr>
          <w:szCs w:val="28"/>
        </w:rPr>
        <w:t>,</w:t>
      </w:r>
      <w:r w:rsidR="00AB3F04" w:rsidRPr="00AB3F04">
        <w:rPr>
          <w:szCs w:val="28"/>
        </w:rPr>
        <w:t>”</w:t>
      </w:r>
      <w:r w:rsidR="00C16598">
        <w:rPr>
          <w:szCs w:val="28"/>
        </w:rPr>
        <w:t xml:space="preserve"> the interim has passed</w:t>
      </w:r>
      <w:r>
        <w:rPr>
          <w:szCs w:val="28"/>
        </w:rPr>
        <w:t xml:space="preserve"> without </w:t>
      </w:r>
      <w:r w:rsidR="00BC2409">
        <w:rPr>
          <w:szCs w:val="28"/>
        </w:rPr>
        <w:t xml:space="preserve">a </w:t>
      </w:r>
      <w:r>
        <w:rPr>
          <w:szCs w:val="28"/>
        </w:rPr>
        <w:t xml:space="preserve">further </w:t>
      </w:r>
      <w:r w:rsidR="00592A75">
        <w:rPr>
          <w:szCs w:val="28"/>
        </w:rPr>
        <w:t>statement</w:t>
      </w:r>
      <w:r>
        <w:rPr>
          <w:szCs w:val="28"/>
        </w:rPr>
        <w:t xml:space="preserve"> from the State Bar</w:t>
      </w:r>
      <w:r w:rsidR="00BA53E7">
        <w:rPr>
          <w:szCs w:val="28"/>
        </w:rPr>
        <w:t xml:space="preserve">. </w:t>
      </w:r>
      <w:r w:rsidR="00310F5A">
        <w:rPr>
          <w:szCs w:val="28"/>
        </w:rPr>
        <w:t xml:space="preserve">(The news release </w:t>
      </w:r>
      <w:r w:rsidR="009802CD">
        <w:rPr>
          <w:szCs w:val="28"/>
        </w:rPr>
        <w:t xml:space="preserve">was removed sometime after April 2020 and </w:t>
      </w:r>
      <w:r w:rsidR="00310F5A">
        <w:rPr>
          <w:szCs w:val="28"/>
        </w:rPr>
        <w:t>is no longer available</w:t>
      </w:r>
      <w:r w:rsidR="009802CD">
        <w:rPr>
          <w:szCs w:val="28"/>
        </w:rPr>
        <w:t>.)</w:t>
      </w:r>
    </w:p>
    <w:p w14:paraId="2CCC5A2D" w14:textId="13088E8D" w:rsidR="00563477" w:rsidRDefault="000C12C9" w:rsidP="00BC4607">
      <w:pPr>
        <w:pStyle w:val="BodyText"/>
        <w:tabs>
          <w:tab w:val="left" w:pos="711"/>
        </w:tabs>
        <w:spacing w:line="480" w:lineRule="auto"/>
        <w:jc w:val="both"/>
        <w:rPr>
          <w:szCs w:val="28"/>
        </w:rPr>
      </w:pPr>
      <w:r>
        <w:rPr>
          <w:szCs w:val="28"/>
        </w:rPr>
        <w:lastRenderedPageBreak/>
        <w:tab/>
      </w:r>
      <w:r w:rsidR="000B173B">
        <w:rPr>
          <w:szCs w:val="28"/>
        </w:rPr>
        <w:t xml:space="preserve">Resolving the issue </w:t>
      </w:r>
      <w:r w:rsidR="00734921">
        <w:rPr>
          <w:szCs w:val="28"/>
        </w:rPr>
        <w:t xml:space="preserve">with </w:t>
      </w:r>
      <w:r w:rsidR="00BC2409">
        <w:rPr>
          <w:szCs w:val="28"/>
        </w:rPr>
        <w:t xml:space="preserve">a </w:t>
      </w:r>
      <w:r w:rsidR="00654C13">
        <w:rPr>
          <w:szCs w:val="28"/>
        </w:rPr>
        <w:t>comment is also an inferior route. “</w:t>
      </w:r>
      <w:r w:rsidR="00654C13" w:rsidRPr="00654C13">
        <w:rPr>
          <w:szCs w:val="28"/>
        </w:rPr>
        <w:t>The Comments are intended as guides to interpretation, but the text of each Rule is authoritative.</w:t>
      </w:r>
      <w:r w:rsidR="00654C13">
        <w:rPr>
          <w:szCs w:val="28"/>
        </w:rPr>
        <w:t xml:space="preserve">” </w:t>
      </w:r>
      <w:r w:rsidR="00CE2195">
        <w:rPr>
          <w:szCs w:val="28"/>
        </w:rPr>
        <w:t xml:space="preserve">Ariz. R. Sup. Ct. 42, Preamble, 21. </w:t>
      </w:r>
      <w:r w:rsidR="00654C13">
        <w:rPr>
          <w:szCs w:val="28"/>
        </w:rPr>
        <w:t>The text of</w:t>
      </w:r>
      <w:r w:rsidR="007F2C3D">
        <w:rPr>
          <w:szCs w:val="28"/>
        </w:rPr>
        <w:t xml:space="preserve"> Arizona’s</w:t>
      </w:r>
      <w:r w:rsidR="00CE2195">
        <w:rPr>
          <w:szCs w:val="28"/>
        </w:rPr>
        <w:t xml:space="preserve"> ER</w:t>
      </w:r>
      <w:r w:rsidR="00654C13">
        <w:rPr>
          <w:szCs w:val="28"/>
        </w:rPr>
        <w:t xml:space="preserve"> 1.2 has been </w:t>
      </w:r>
      <w:r w:rsidR="001B16E3">
        <w:rPr>
          <w:szCs w:val="28"/>
        </w:rPr>
        <w:t>interpreted by</w:t>
      </w:r>
      <w:r w:rsidR="00057BB1">
        <w:rPr>
          <w:szCs w:val="28"/>
        </w:rPr>
        <w:t xml:space="preserve"> nearly</w:t>
      </w:r>
      <w:r w:rsidR="001B16E3">
        <w:rPr>
          <w:szCs w:val="28"/>
        </w:rPr>
        <w:t xml:space="preserve"> every jurisdiction that has addressed the issue to preclude </w:t>
      </w:r>
      <w:r w:rsidR="00D215DB">
        <w:rPr>
          <w:szCs w:val="28"/>
        </w:rPr>
        <w:t xml:space="preserve">a lawyer </w:t>
      </w:r>
      <w:r w:rsidR="007F2C3D">
        <w:rPr>
          <w:szCs w:val="28"/>
        </w:rPr>
        <w:t>from</w:t>
      </w:r>
      <w:r w:rsidR="00D215DB">
        <w:rPr>
          <w:szCs w:val="28"/>
        </w:rPr>
        <w:t xml:space="preserve"> assisting in such matters. </w:t>
      </w:r>
      <w:r w:rsidR="00643A43">
        <w:rPr>
          <w:szCs w:val="28"/>
        </w:rPr>
        <w:t>A comment to a rule should not conflict with the rule’s text.</w:t>
      </w:r>
    </w:p>
    <w:p w14:paraId="15A6052A" w14:textId="77777777" w:rsidR="00960793" w:rsidRDefault="000C12C9" w:rsidP="00EF7ADC">
      <w:pPr>
        <w:pStyle w:val="BodyText"/>
        <w:tabs>
          <w:tab w:val="left" w:pos="711"/>
        </w:tabs>
        <w:spacing w:line="480" w:lineRule="auto"/>
        <w:jc w:val="both"/>
        <w:rPr>
          <w:szCs w:val="28"/>
        </w:rPr>
      </w:pPr>
      <w:r>
        <w:rPr>
          <w:szCs w:val="28"/>
        </w:rPr>
        <w:tab/>
      </w:r>
      <w:r w:rsidR="00643A43">
        <w:rPr>
          <w:szCs w:val="28"/>
        </w:rPr>
        <w:t xml:space="preserve">The language of the proposed amendment </w:t>
      </w:r>
      <w:r w:rsidR="006271A3">
        <w:rPr>
          <w:szCs w:val="28"/>
        </w:rPr>
        <w:t xml:space="preserve">is consistent with the language adopted by </w:t>
      </w:r>
      <w:r w:rsidR="00643A43">
        <w:rPr>
          <w:szCs w:val="28"/>
        </w:rPr>
        <w:t xml:space="preserve">several </w:t>
      </w:r>
      <w:r w:rsidR="006271A3">
        <w:rPr>
          <w:szCs w:val="28"/>
        </w:rPr>
        <w:t xml:space="preserve">other </w:t>
      </w:r>
      <w:r w:rsidR="00643A43">
        <w:rPr>
          <w:szCs w:val="28"/>
        </w:rPr>
        <w:t xml:space="preserve">jurisdictions. </w:t>
      </w:r>
      <w:r w:rsidR="00EF7ADC">
        <w:rPr>
          <w:szCs w:val="28"/>
        </w:rPr>
        <w:t xml:space="preserve">Faced with the same dilemma, the Pennsylvania Supreme Court </w:t>
      </w:r>
      <w:r w:rsidR="003C6C1F">
        <w:rPr>
          <w:szCs w:val="28"/>
        </w:rPr>
        <w:t>amended the rule</w:t>
      </w:r>
      <w:r w:rsidR="00EF7ADC">
        <w:rPr>
          <w:szCs w:val="28"/>
        </w:rPr>
        <w:t xml:space="preserve"> in 2017, after the Pennsylvania Bar Association Legal Ethics and Professional Responsibility Committee and the Philadelphia Bar Association Professional Guidance Committee issued a joint opinion in response to both organizations receiving “</w:t>
      </w:r>
      <w:r w:rsidR="00EF7ADC" w:rsidRPr="00557E90">
        <w:rPr>
          <w:szCs w:val="28"/>
        </w:rPr>
        <w:t>numerous inquiries</w:t>
      </w:r>
      <w:r w:rsidR="00EF7ADC">
        <w:rPr>
          <w:szCs w:val="28"/>
        </w:rPr>
        <w:t xml:space="preserve">” concerning the ethical propriety of a Pennsylvania lawyer providing legal services to clients who were subject to another jurisdiction’s marijuana law, and in anticipation of Pennsylvania’s own proposed medical marijuana law. </w:t>
      </w:r>
      <w:r w:rsidR="00EF7ADC" w:rsidRPr="006D65BC">
        <w:rPr>
          <w:i/>
          <w:iCs/>
          <w:szCs w:val="28"/>
        </w:rPr>
        <w:t>See</w:t>
      </w:r>
      <w:r w:rsidR="00EF7ADC">
        <w:rPr>
          <w:szCs w:val="28"/>
        </w:rPr>
        <w:t xml:space="preserve"> </w:t>
      </w:r>
      <w:r w:rsidR="00E64C34">
        <w:rPr>
          <w:szCs w:val="28"/>
        </w:rPr>
        <w:t>The Disciplinary Board of the Supreme Court of Pennsylvania</w:t>
      </w:r>
      <w:r w:rsidR="006E7ED2">
        <w:rPr>
          <w:szCs w:val="28"/>
        </w:rPr>
        <w:t xml:space="preserve">, PA Supreme Court clarifies </w:t>
      </w:r>
      <w:r w:rsidR="005E11F1">
        <w:rPr>
          <w:szCs w:val="28"/>
        </w:rPr>
        <w:t xml:space="preserve">rule that </w:t>
      </w:r>
      <w:r w:rsidR="00181512">
        <w:rPr>
          <w:szCs w:val="28"/>
        </w:rPr>
        <w:t>pertains to the issue of lawyers advertising cli</w:t>
      </w:r>
      <w:r w:rsidR="0011621C">
        <w:rPr>
          <w:szCs w:val="28"/>
        </w:rPr>
        <w:t>ents engaged in the medical marijuana industry</w:t>
      </w:r>
      <w:r w:rsidR="006E7ED2">
        <w:rPr>
          <w:szCs w:val="28"/>
        </w:rPr>
        <w:t xml:space="preserve"> (Oct. 26, 2017)</w:t>
      </w:r>
      <w:r w:rsidR="0011621C">
        <w:rPr>
          <w:szCs w:val="28"/>
        </w:rPr>
        <w:t xml:space="preserve">, </w:t>
      </w:r>
      <w:r w:rsidR="006A285C" w:rsidRPr="006A285C">
        <w:rPr>
          <w:szCs w:val="28"/>
        </w:rPr>
        <w:t>https://www.padisciplinaryboard.org/news-media/news-article/7/amendment-to-rules-of-professional-conduct</w:t>
      </w:r>
      <w:r w:rsidR="00EF7ADC">
        <w:rPr>
          <w:szCs w:val="28"/>
        </w:rPr>
        <w:t xml:space="preserve">. After concluding that the proposed conduct would </w:t>
      </w:r>
      <w:r w:rsidR="00EF7ADC">
        <w:rPr>
          <w:szCs w:val="28"/>
        </w:rPr>
        <w:lastRenderedPageBreak/>
        <w:t>violate the rule without such amendment, the committees recommended an amendment to ER 1.2 “[i]</w:t>
      </w:r>
      <w:r w:rsidR="00EF7ADC" w:rsidRPr="00BE0B37">
        <w:rPr>
          <w:szCs w:val="28"/>
        </w:rPr>
        <w:t xml:space="preserve"> n order to provide clearer guidance and comfort to lawyers who are interested in practicing in this burgeoning area of law</w:t>
      </w:r>
      <w:r w:rsidR="00EF7ADC">
        <w:rPr>
          <w:szCs w:val="28"/>
        </w:rPr>
        <w:t xml:space="preserve">.” </w:t>
      </w:r>
      <w:r w:rsidR="00EF7ADC" w:rsidRPr="006D65BC">
        <w:rPr>
          <w:i/>
          <w:iCs/>
          <w:szCs w:val="28"/>
        </w:rPr>
        <w:t>See</w:t>
      </w:r>
      <w:r w:rsidR="000A1A88">
        <w:rPr>
          <w:szCs w:val="28"/>
        </w:rPr>
        <w:t xml:space="preserve"> </w:t>
      </w:r>
      <w:r w:rsidR="00E84799">
        <w:rPr>
          <w:szCs w:val="28"/>
        </w:rPr>
        <w:t>P</w:t>
      </w:r>
      <w:r>
        <w:rPr>
          <w:szCs w:val="28"/>
        </w:rPr>
        <w:t>enn. Op. 2015</w:t>
      </w:r>
      <w:r>
        <w:rPr>
          <w:szCs w:val="28"/>
        </w:rPr>
        <w:noBreakHyphen/>
        <w:t xml:space="preserve">100 </w:t>
      </w:r>
      <w:r w:rsidR="00EF7ADC" w:rsidRPr="00091762">
        <w:rPr>
          <w:szCs w:val="28"/>
        </w:rPr>
        <w:t>http://www.philadelphiabar.org/WebObjects/PBAReadOnly.woa/Conten</w:t>
      </w:r>
    </w:p>
    <w:p w14:paraId="17C88C1C" w14:textId="1E49F0C2" w:rsidR="000A1A88" w:rsidRDefault="000C12C9" w:rsidP="00EF7ADC">
      <w:pPr>
        <w:pStyle w:val="BodyText"/>
        <w:tabs>
          <w:tab w:val="left" w:pos="711"/>
        </w:tabs>
        <w:spacing w:line="480" w:lineRule="auto"/>
        <w:jc w:val="both"/>
        <w:rPr>
          <w:szCs w:val="28"/>
        </w:rPr>
      </w:pPr>
      <w:r w:rsidRPr="00091762">
        <w:rPr>
          <w:szCs w:val="28"/>
        </w:rPr>
        <w:t>ts/WebServerResources/CMSResources/JointFormalOpinion2015-100.pdf</w:t>
      </w:r>
      <w:r>
        <w:rPr>
          <w:szCs w:val="28"/>
        </w:rPr>
        <w:t xml:space="preserve">. </w:t>
      </w:r>
    </w:p>
    <w:p w14:paraId="7F7EF7F6" w14:textId="6D6DDFE5" w:rsidR="00EF7ADC" w:rsidRDefault="000C12C9" w:rsidP="00EF7ADC">
      <w:pPr>
        <w:pStyle w:val="BodyText"/>
        <w:tabs>
          <w:tab w:val="left" w:pos="711"/>
        </w:tabs>
        <w:spacing w:line="480" w:lineRule="auto"/>
        <w:jc w:val="both"/>
        <w:rPr>
          <w:szCs w:val="28"/>
        </w:rPr>
      </w:pPr>
      <w:r>
        <w:rPr>
          <w:szCs w:val="28"/>
        </w:rPr>
        <w:tab/>
      </w:r>
      <w:r w:rsidR="00911917">
        <w:rPr>
          <w:szCs w:val="28"/>
        </w:rPr>
        <w:t xml:space="preserve">The </w:t>
      </w:r>
      <w:r>
        <w:rPr>
          <w:szCs w:val="28"/>
        </w:rPr>
        <w:t>Pennsylvania Supreme Court adopted ER 1.2(e), which provides:</w:t>
      </w:r>
      <w:r w:rsidRPr="00B42781">
        <w:rPr>
          <w:szCs w:val="28"/>
        </w:rPr>
        <w:t xml:space="preserve"> </w:t>
      </w:r>
    </w:p>
    <w:p w14:paraId="44FB8CBB" w14:textId="1E8C61C3" w:rsidR="00EF7ADC" w:rsidRPr="00D0595C" w:rsidRDefault="000C12C9" w:rsidP="00EF7ADC">
      <w:pPr>
        <w:pStyle w:val="BodyText"/>
        <w:tabs>
          <w:tab w:val="left" w:pos="711"/>
        </w:tabs>
        <w:spacing w:after="240"/>
        <w:ind w:left="1440" w:right="1440"/>
        <w:jc w:val="both"/>
        <w:rPr>
          <w:szCs w:val="28"/>
        </w:rPr>
      </w:pPr>
      <w:bookmarkStart w:id="1" w:name="_Hlk44322642"/>
      <w:r w:rsidRPr="006B3047">
        <w:rPr>
          <w:szCs w:val="28"/>
        </w:rPr>
        <w:t>A lawyer may counsel or assist a client regarding conduct expressly permitted by Pennsylvania law, provided that the lawyer counsels the client about the legal consequences, under other applicable law, of the client</w:t>
      </w:r>
      <w:r w:rsidR="00BE6094">
        <w:rPr>
          <w:szCs w:val="28"/>
        </w:rPr>
        <w:t>’</w:t>
      </w:r>
      <w:r w:rsidRPr="006B3047">
        <w:rPr>
          <w:szCs w:val="28"/>
        </w:rPr>
        <w:t>s proposed course of conduct.</w:t>
      </w:r>
      <w:bookmarkEnd w:id="1"/>
    </w:p>
    <w:p w14:paraId="24EEFD87" w14:textId="0D400E34" w:rsidR="008F71CB" w:rsidRPr="009767FF" w:rsidRDefault="000C12C9" w:rsidP="009767FF">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D0595C">
        <w:rPr>
          <w:sz w:val="28"/>
          <w:szCs w:val="28"/>
        </w:rPr>
        <w:t xml:space="preserve">Penn. ER 1.2(e); </w:t>
      </w:r>
      <w:r w:rsidRPr="00D0595C">
        <w:rPr>
          <w:i/>
          <w:iCs/>
          <w:sz w:val="28"/>
          <w:szCs w:val="28"/>
        </w:rPr>
        <w:t>see also</w:t>
      </w:r>
      <w:r w:rsidRPr="00D0595C">
        <w:rPr>
          <w:sz w:val="28"/>
          <w:szCs w:val="28"/>
        </w:rPr>
        <w:t xml:space="preserve"> N.J. </w:t>
      </w:r>
      <w:r w:rsidR="00960793">
        <w:rPr>
          <w:sz w:val="28"/>
          <w:szCs w:val="28"/>
        </w:rPr>
        <w:t>ER</w:t>
      </w:r>
      <w:r w:rsidRPr="00D0595C">
        <w:rPr>
          <w:sz w:val="28"/>
          <w:szCs w:val="28"/>
        </w:rPr>
        <w:t xml:space="preserve"> 1.2(d) (adding to </w:t>
      </w:r>
      <w:r>
        <w:rPr>
          <w:sz w:val="28"/>
          <w:szCs w:val="28"/>
        </w:rPr>
        <w:t>Model Rule 1.2(d))</w:t>
      </w:r>
      <w:r w:rsidRPr="00D0595C">
        <w:rPr>
          <w:sz w:val="28"/>
          <w:szCs w:val="28"/>
        </w:rPr>
        <w:t xml:space="preserve"> </w:t>
      </w:r>
      <w:r>
        <w:rPr>
          <w:sz w:val="28"/>
          <w:szCs w:val="28"/>
        </w:rPr>
        <w:t>(</w:t>
      </w:r>
      <w:r w:rsidRPr="00D0595C">
        <w:rPr>
          <w:sz w:val="28"/>
          <w:szCs w:val="28"/>
        </w:rPr>
        <w:t>“A lawyer may counsel a client regarding New Jersey</w:t>
      </w:r>
      <w:r w:rsidR="00BE6094">
        <w:rPr>
          <w:sz w:val="28"/>
          <w:szCs w:val="28"/>
        </w:rPr>
        <w:t>’</w:t>
      </w:r>
      <w:r w:rsidRPr="00D0595C">
        <w:rPr>
          <w:sz w:val="28"/>
          <w:szCs w:val="28"/>
        </w:rPr>
        <w:t>s medical marijuana laws and assist the client to en</w:t>
      </w:r>
      <w:r w:rsidRPr="001B2550">
        <w:rPr>
          <w:sz w:val="28"/>
          <w:szCs w:val="28"/>
        </w:rPr>
        <w:t>gage in conduct that the lawyer reasonably believes is authorized by those laws. The l</w:t>
      </w:r>
      <w:r w:rsidRPr="00EC731F">
        <w:rPr>
          <w:sz w:val="28"/>
          <w:szCs w:val="28"/>
        </w:rPr>
        <w:t>awyer shall also advise the client regarding related federal law and policy.”); Or</w:t>
      </w:r>
      <w:r w:rsidR="005C6855">
        <w:rPr>
          <w:sz w:val="28"/>
          <w:szCs w:val="28"/>
        </w:rPr>
        <w:t>.</w:t>
      </w:r>
      <w:r>
        <w:rPr>
          <w:sz w:val="28"/>
          <w:szCs w:val="28"/>
        </w:rPr>
        <w:t xml:space="preserve"> ER 1.2(d) (“</w:t>
      </w:r>
      <w:r w:rsidRPr="00EA621A">
        <w:rPr>
          <w:sz w:val="28"/>
          <w:szCs w:val="28"/>
        </w:rPr>
        <w:t>Notwithstanding paragraph (c), a lawyer may counsel and assist a client regarding Oregon</w:t>
      </w:r>
      <w:r w:rsidR="00BE6094">
        <w:rPr>
          <w:sz w:val="28"/>
          <w:szCs w:val="28"/>
        </w:rPr>
        <w:t>’</w:t>
      </w:r>
      <w:r w:rsidRPr="00EA621A">
        <w:rPr>
          <w:sz w:val="28"/>
          <w:szCs w:val="28"/>
        </w:rPr>
        <w:t>s marijuana-related laws. In the event Oregon law conflicts with federal or tribal law, the lawyer shall also advise the client regarding related federal and tribal law and policy.</w:t>
      </w:r>
      <w:r>
        <w:rPr>
          <w:sz w:val="28"/>
          <w:szCs w:val="28"/>
        </w:rPr>
        <w:t>”).</w:t>
      </w:r>
    </w:p>
    <w:p w14:paraId="2AE1E963" w14:textId="5AFBD2EA" w:rsidR="00EF7ADC" w:rsidRDefault="000C12C9" w:rsidP="00CB6C0D">
      <w:pPr>
        <w:pStyle w:val="BodyText"/>
        <w:tabs>
          <w:tab w:val="left" w:pos="711"/>
        </w:tabs>
        <w:spacing w:line="480" w:lineRule="auto"/>
        <w:jc w:val="both"/>
        <w:rPr>
          <w:szCs w:val="28"/>
        </w:rPr>
      </w:pPr>
      <w:r>
        <w:rPr>
          <w:szCs w:val="28"/>
        </w:rPr>
        <w:tab/>
        <w:t>The Committee recommends this Court amend ER 1.2(e).</w:t>
      </w:r>
      <w:bookmarkStart w:id="2" w:name="_Hlk44329355"/>
      <w:r w:rsidR="009767FF">
        <w:rPr>
          <w:szCs w:val="28"/>
        </w:rPr>
        <w:t xml:space="preserve"> </w:t>
      </w:r>
      <w:r w:rsidR="00DE297A">
        <w:rPr>
          <w:szCs w:val="28"/>
        </w:rPr>
        <w:t xml:space="preserve">A similar petition was submitted in 2016 and 2018 with the </w:t>
      </w:r>
      <w:r w:rsidR="00427555">
        <w:rPr>
          <w:szCs w:val="28"/>
        </w:rPr>
        <w:t>State Bar and the Attorney Regulation Advisory Committee’s support</w:t>
      </w:r>
      <w:r w:rsidR="00DE297A">
        <w:rPr>
          <w:szCs w:val="28"/>
        </w:rPr>
        <w:t xml:space="preserve"> but denied without comment. </w:t>
      </w:r>
      <w:r w:rsidR="00DE297A">
        <w:rPr>
          <w:i/>
          <w:iCs/>
          <w:szCs w:val="28"/>
        </w:rPr>
        <w:t>S</w:t>
      </w:r>
      <w:r w:rsidR="00DE297A" w:rsidRPr="00ED730D">
        <w:rPr>
          <w:i/>
          <w:iCs/>
          <w:szCs w:val="28"/>
        </w:rPr>
        <w:t>ee</w:t>
      </w:r>
      <w:r w:rsidR="00603B11">
        <w:rPr>
          <w:i/>
          <w:iCs/>
          <w:szCs w:val="28"/>
        </w:rPr>
        <w:t xml:space="preserve"> </w:t>
      </w:r>
      <w:r w:rsidR="00DE297A">
        <w:rPr>
          <w:szCs w:val="28"/>
        </w:rPr>
        <w:t>R</w:t>
      </w:r>
      <w:r w:rsidR="00DE297A">
        <w:rPr>
          <w:szCs w:val="28"/>
        </w:rPr>
        <w:noBreakHyphen/>
        <w:t>16</w:t>
      </w:r>
      <w:r w:rsidR="00603B11">
        <w:rPr>
          <w:szCs w:val="28"/>
        </w:rPr>
        <w:noBreakHyphen/>
      </w:r>
      <w:r w:rsidR="00DE297A">
        <w:rPr>
          <w:szCs w:val="28"/>
        </w:rPr>
        <w:t>0027; R-18-</w:t>
      </w:r>
      <w:r w:rsidR="00DE297A">
        <w:rPr>
          <w:szCs w:val="28"/>
        </w:rPr>
        <w:lastRenderedPageBreak/>
        <w:t xml:space="preserve">0009. </w:t>
      </w:r>
      <w:r w:rsidR="00CB6C0D" w:rsidRPr="00CB6C0D">
        <w:rPr>
          <w:szCs w:val="28"/>
        </w:rPr>
        <w:t xml:space="preserve">The proposed amendment would reconcile any perceived conflicts between ER 1.2 and the Opinion </w:t>
      </w:r>
      <w:bookmarkEnd w:id="2"/>
      <w:r w:rsidR="009767FF">
        <w:rPr>
          <w:szCs w:val="28"/>
        </w:rPr>
        <w:t>and</w:t>
      </w:r>
      <w:r w:rsidRPr="00CB6C0D">
        <w:rPr>
          <w:szCs w:val="28"/>
        </w:rPr>
        <w:t xml:space="preserve"> </w:t>
      </w:r>
      <w:r w:rsidR="004F4991">
        <w:rPr>
          <w:szCs w:val="28"/>
        </w:rPr>
        <w:t>clarify</w:t>
      </w:r>
      <w:r w:rsidRPr="00CB6C0D">
        <w:rPr>
          <w:szCs w:val="28"/>
        </w:rPr>
        <w:t xml:space="preserve"> </w:t>
      </w:r>
      <w:r w:rsidR="004F4991">
        <w:rPr>
          <w:szCs w:val="28"/>
        </w:rPr>
        <w:t xml:space="preserve">a </w:t>
      </w:r>
      <w:r w:rsidRPr="00CB6C0D">
        <w:rPr>
          <w:szCs w:val="28"/>
        </w:rPr>
        <w:t>lawyer</w:t>
      </w:r>
      <w:r w:rsidR="004F4991">
        <w:rPr>
          <w:szCs w:val="28"/>
        </w:rPr>
        <w:t>’</w:t>
      </w:r>
      <w:r w:rsidRPr="00CB6C0D">
        <w:rPr>
          <w:szCs w:val="28"/>
        </w:rPr>
        <w:t>s ethical ability to assist a client with matters expressly permitted under state law, even when the law may conflict with federal law, until or unless the state law is declared invalid.</w:t>
      </w:r>
    </w:p>
    <w:p w14:paraId="3EC8EADD" w14:textId="74983A39" w:rsidR="00321F15" w:rsidRPr="00E40B8D" w:rsidRDefault="000C12C9" w:rsidP="008F7C94">
      <w:pPr>
        <w:pStyle w:val="BodyText"/>
        <w:numPr>
          <w:ilvl w:val="0"/>
          <w:numId w:val="1"/>
        </w:numPr>
        <w:tabs>
          <w:tab w:val="left" w:pos="711"/>
        </w:tabs>
        <w:spacing w:line="480" w:lineRule="auto"/>
        <w:ind w:left="720"/>
        <w:jc w:val="both"/>
        <w:rPr>
          <w:b/>
          <w:bCs/>
          <w:szCs w:val="28"/>
        </w:rPr>
      </w:pPr>
      <w:r>
        <w:rPr>
          <w:szCs w:val="28"/>
        </w:rPr>
        <w:tab/>
      </w:r>
      <w:r>
        <w:rPr>
          <w:b/>
          <w:bCs/>
          <w:szCs w:val="28"/>
        </w:rPr>
        <w:t>Contents of the Proposed Rule Amendment</w:t>
      </w:r>
    </w:p>
    <w:p w14:paraId="782F97AD" w14:textId="3FC4EDF8" w:rsidR="008F7C94" w:rsidRDefault="000C12C9" w:rsidP="00126496">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Pr>
          <w:sz w:val="28"/>
          <w:szCs w:val="28"/>
        </w:rPr>
        <w:t>ER 1.2:</w:t>
      </w:r>
    </w:p>
    <w:p w14:paraId="5E194E6C" w14:textId="1F85A65B" w:rsidR="00126496" w:rsidRPr="00126496" w:rsidRDefault="000C12C9" w:rsidP="00494C39">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rPr>
          <w:sz w:val="28"/>
          <w:szCs w:val="28"/>
        </w:rPr>
      </w:pPr>
      <w:r w:rsidRPr="00126496">
        <w:rPr>
          <w:sz w:val="28"/>
          <w:szCs w:val="28"/>
        </w:rPr>
        <w:t>(a) Subject to paragraphs (c) and (d), a lawyer shall abide by a client</w:t>
      </w:r>
      <w:r w:rsidR="00BE6094">
        <w:rPr>
          <w:sz w:val="28"/>
          <w:szCs w:val="28"/>
        </w:rPr>
        <w:t>’</w:t>
      </w:r>
      <w:r w:rsidRPr="00126496">
        <w:rPr>
          <w:sz w:val="28"/>
          <w:szCs w:val="28"/>
        </w:rPr>
        <w:t>s decisions concerning the objectives of representation and, as required by ER 1.4, shall consult with the client as to the means by which they are to be pursued. A lawyer may take such action on behalf of the client as is impliedly authorized to carry out the representation. A lawyer shall abide by a client</w:t>
      </w:r>
      <w:r w:rsidR="00BE6094">
        <w:rPr>
          <w:sz w:val="28"/>
          <w:szCs w:val="28"/>
        </w:rPr>
        <w:t>’</w:t>
      </w:r>
      <w:r w:rsidRPr="00126496">
        <w:rPr>
          <w:sz w:val="28"/>
          <w:szCs w:val="28"/>
        </w:rPr>
        <w:t>s decision whether to settle a matter. In a criminal case, the lawyer shall abide by the client</w:t>
      </w:r>
      <w:r w:rsidR="00BE6094">
        <w:rPr>
          <w:sz w:val="28"/>
          <w:szCs w:val="28"/>
        </w:rPr>
        <w:t>’</w:t>
      </w:r>
      <w:r w:rsidRPr="00126496">
        <w:rPr>
          <w:sz w:val="28"/>
          <w:szCs w:val="28"/>
        </w:rPr>
        <w:t>s decision, after consultation with the lawyer, as to a plea to be entered, whether to waive jury trial and whether the client will testify.</w:t>
      </w:r>
    </w:p>
    <w:p w14:paraId="0BE261D9" w14:textId="6601709E" w:rsidR="00126496" w:rsidRPr="00126496" w:rsidRDefault="000C12C9" w:rsidP="00494C39">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rPr>
          <w:sz w:val="28"/>
          <w:szCs w:val="28"/>
        </w:rPr>
      </w:pPr>
      <w:r w:rsidRPr="00126496">
        <w:rPr>
          <w:sz w:val="28"/>
          <w:szCs w:val="28"/>
        </w:rPr>
        <w:t>(b) A lawyer</w:t>
      </w:r>
      <w:r w:rsidR="00BE6094">
        <w:rPr>
          <w:sz w:val="28"/>
          <w:szCs w:val="28"/>
        </w:rPr>
        <w:t>’</w:t>
      </w:r>
      <w:r w:rsidRPr="00126496">
        <w:rPr>
          <w:sz w:val="28"/>
          <w:szCs w:val="28"/>
        </w:rPr>
        <w:t>s representation of a client, including representation by appointment, does not constitute an endorsement of the client</w:t>
      </w:r>
      <w:r w:rsidR="00BE6094">
        <w:rPr>
          <w:sz w:val="28"/>
          <w:szCs w:val="28"/>
        </w:rPr>
        <w:t>’</w:t>
      </w:r>
      <w:r w:rsidRPr="00126496">
        <w:rPr>
          <w:sz w:val="28"/>
          <w:szCs w:val="28"/>
        </w:rPr>
        <w:t>s political, economic, social or moral views or activities.</w:t>
      </w:r>
    </w:p>
    <w:p w14:paraId="06D088CB" w14:textId="77777777" w:rsidR="00126496" w:rsidRPr="00126496" w:rsidRDefault="000C12C9" w:rsidP="00494C39">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rPr>
          <w:sz w:val="28"/>
          <w:szCs w:val="28"/>
        </w:rPr>
      </w:pPr>
      <w:r w:rsidRPr="00126496">
        <w:rPr>
          <w:sz w:val="28"/>
          <w:szCs w:val="28"/>
        </w:rPr>
        <w:t>(c) A lawyer may limit the scope of the representation if the limitation is reasonable under the circumstances and the client gives informed consent.</w:t>
      </w:r>
    </w:p>
    <w:p w14:paraId="091C87C0" w14:textId="44D8CE5D" w:rsidR="00126496" w:rsidRDefault="000C12C9" w:rsidP="00494C39">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rPr>
          <w:sz w:val="28"/>
          <w:szCs w:val="28"/>
        </w:rPr>
      </w:pPr>
      <w:r w:rsidRPr="00126496">
        <w:rPr>
          <w:sz w:val="28"/>
          <w:szCs w:val="28"/>
        </w:rPr>
        <w:t>(d) A lawyer shall not counsel a client to engage, or assist a client, in conduct that the lawyer knows is criminal or fraudulent, but a lawyer may discuss the legal consequences of any proposed course of conduct with a client and may counsel or assist a client to make a good faith effort to determine the validity, scope, meaning or application of the law.</w:t>
      </w:r>
    </w:p>
    <w:p w14:paraId="4F6F2FDB" w14:textId="35DA42B2" w:rsidR="00126496" w:rsidRPr="008F7C94" w:rsidRDefault="000C12C9" w:rsidP="00494C39">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rPr>
          <w:sz w:val="28"/>
          <w:szCs w:val="28"/>
          <w:u w:val="single"/>
        </w:rPr>
      </w:pPr>
      <w:r w:rsidRPr="00BF0926">
        <w:rPr>
          <w:sz w:val="28"/>
          <w:szCs w:val="28"/>
          <w:u w:val="single"/>
        </w:rPr>
        <w:lastRenderedPageBreak/>
        <w:t xml:space="preserve">(e) Notwithstanding subsection (d), a lawyer may counsel or assist a client regarding conduct expressly permitted by </w:t>
      </w:r>
      <w:r w:rsidR="00F23C10">
        <w:rPr>
          <w:sz w:val="28"/>
          <w:szCs w:val="28"/>
          <w:u w:val="single"/>
        </w:rPr>
        <w:t>Arizona</w:t>
      </w:r>
      <w:r w:rsidRPr="00BF0926">
        <w:rPr>
          <w:sz w:val="28"/>
          <w:szCs w:val="28"/>
          <w:u w:val="single"/>
        </w:rPr>
        <w:t xml:space="preserve"> law, provided that the lawyer counsels the client about the legal consequences, under other applicable law, of the client</w:t>
      </w:r>
      <w:r w:rsidR="00F23C10">
        <w:rPr>
          <w:sz w:val="28"/>
          <w:szCs w:val="28"/>
          <w:u w:val="single"/>
        </w:rPr>
        <w:t>’</w:t>
      </w:r>
      <w:r w:rsidRPr="00BF0926">
        <w:rPr>
          <w:sz w:val="28"/>
          <w:szCs w:val="28"/>
          <w:u w:val="single"/>
        </w:rPr>
        <w:t>s proposed course of conduct.</w:t>
      </w:r>
    </w:p>
    <w:p w14:paraId="0BAD74A3" w14:textId="77777777" w:rsidR="005227A8" w:rsidRPr="00B71ADB" w:rsidRDefault="000C12C9" w:rsidP="00CB2694">
      <w:pPr>
        <w:pStyle w:val="ListParagraph"/>
        <w:numPr>
          <w:ilvl w:val="0"/>
          <w:numId w:val="1"/>
        </w:numPr>
        <w:spacing w:line="480" w:lineRule="auto"/>
        <w:ind w:left="720"/>
        <w:jc w:val="both"/>
        <w:rPr>
          <w:b/>
          <w:sz w:val="28"/>
          <w:szCs w:val="28"/>
        </w:rPr>
      </w:pPr>
      <w:r w:rsidRPr="00B71ADB">
        <w:rPr>
          <w:b/>
          <w:sz w:val="28"/>
          <w:szCs w:val="28"/>
        </w:rPr>
        <w:t>Conclusion</w:t>
      </w:r>
    </w:p>
    <w:p w14:paraId="47F38FD0" w14:textId="4B46BEF1" w:rsidR="00D854D3" w:rsidRDefault="000C12C9" w:rsidP="007F54A2">
      <w:pPr>
        <w:spacing w:line="480" w:lineRule="auto"/>
        <w:ind w:firstLine="720"/>
        <w:jc w:val="both"/>
        <w:rPr>
          <w:bCs/>
          <w:sz w:val="28"/>
          <w:szCs w:val="28"/>
        </w:rPr>
      </w:pPr>
      <w:r>
        <w:rPr>
          <w:bCs/>
          <w:sz w:val="28"/>
          <w:szCs w:val="28"/>
        </w:rPr>
        <w:t>The Petitioner</w:t>
      </w:r>
      <w:r w:rsidR="00006A94">
        <w:rPr>
          <w:bCs/>
          <w:sz w:val="28"/>
          <w:szCs w:val="28"/>
        </w:rPr>
        <w:t xml:space="preserve"> respectfully requests</w:t>
      </w:r>
      <w:r w:rsidR="002508B4" w:rsidRPr="00DB3840">
        <w:rPr>
          <w:bCs/>
          <w:sz w:val="28"/>
          <w:szCs w:val="28"/>
        </w:rPr>
        <w:t xml:space="preserve"> that the Court adopt the proposed rule.</w:t>
      </w:r>
      <w:r w:rsidR="00C009D2">
        <w:rPr>
          <w:bCs/>
          <w:sz w:val="28"/>
          <w:szCs w:val="28"/>
        </w:rPr>
        <w:t xml:space="preserve"> </w:t>
      </w:r>
      <w:r>
        <w:rPr>
          <w:bCs/>
          <w:sz w:val="28"/>
          <w:szCs w:val="28"/>
        </w:rPr>
        <w:t xml:space="preserve">In the alternative, Petitioner requests that the Court </w:t>
      </w:r>
      <w:r w:rsidR="00765E4C">
        <w:rPr>
          <w:bCs/>
          <w:sz w:val="28"/>
          <w:szCs w:val="28"/>
        </w:rPr>
        <w:t>refer</w:t>
      </w:r>
      <w:r w:rsidR="00376B53">
        <w:rPr>
          <w:bCs/>
          <w:sz w:val="28"/>
          <w:szCs w:val="28"/>
        </w:rPr>
        <w:t xml:space="preserve"> the matter back to the Committee</w:t>
      </w:r>
      <w:r w:rsidR="00765E4C">
        <w:rPr>
          <w:bCs/>
          <w:sz w:val="28"/>
          <w:szCs w:val="28"/>
        </w:rPr>
        <w:t xml:space="preserve"> with</w:t>
      </w:r>
      <w:r w:rsidR="00376B53">
        <w:rPr>
          <w:bCs/>
          <w:sz w:val="28"/>
          <w:szCs w:val="28"/>
        </w:rPr>
        <w:t xml:space="preserve"> </w:t>
      </w:r>
      <w:r w:rsidR="00765E4C">
        <w:rPr>
          <w:bCs/>
          <w:sz w:val="28"/>
          <w:szCs w:val="28"/>
        </w:rPr>
        <w:t>direction</w:t>
      </w:r>
      <w:r w:rsidR="0025313D">
        <w:rPr>
          <w:bCs/>
          <w:sz w:val="28"/>
          <w:szCs w:val="28"/>
        </w:rPr>
        <w:t>s</w:t>
      </w:r>
      <w:r w:rsidR="005773C2">
        <w:rPr>
          <w:bCs/>
          <w:sz w:val="28"/>
          <w:szCs w:val="28"/>
        </w:rPr>
        <w:t>.</w:t>
      </w:r>
    </w:p>
    <w:p w14:paraId="61416B04" w14:textId="2A9C624B" w:rsidR="00494C39" w:rsidRDefault="000C12C9" w:rsidP="007F54A2">
      <w:pPr>
        <w:spacing w:line="480" w:lineRule="auto"/>
        <w:ind w:firstLine="720"/>
        <w:jc w:val="both"/>
        <w:rPr>
          <w:bCs/>
          <w:sz w:val="28"/>
          <w:szCs w:val="28"/>
        </w:rPr>
      </w:pPr>
      <w:r>
        <w:rPr>
          <w:bCs/>
          <w:sz w:val="28"/>
          <w:szCs w:val="28"/>
        </w:rPr>
        <w:t xml:space="preserve">Attached is </w:t>
      </w:r>
      <w:r w:rsidR="00765E4C">
        <w:rPr>
          <w:bCs/>
          <w:sz w:val="28"/>
          <w:szCs w:val="28"/>
        </w:rPr>
        <w:t xml:space="preserve">Ariz. Op. </w:t>
      </w:r>
      <w:r>
        <w:rPr>
          <w:bCs/>
          <w:sz w:val="28"/>
          <w:szCs w:val="28"/>
        </w:rPr>
        <w:t>11-01</w:t>
      </w:r>
      <w:r w:rsidR="004B7296">
        <w:rPr>
          <w:bCs/>
          <w:sz w:val="28"/>
          <w:szCs w:val="28"/>
        </w:rPr>
        <w:t xml:space="preserve"> and</w:t>
      </w:r>
      <w:r>
        <w:rPr>
          <w:bCs/>
          <w:sz w:val="28"/>
          <w:szCs w:val="28"/>
        </w:rPr>
        <w:t xml:space="preserve"> </w:t>
      </w:r>
      <w:r w:rsidR="00765E4C">
        <w:rPr>
          <w:bCs/>
          <w:sz w:val="28"/>
          <w:szCs w:val="28"/>
        </w:rPr>
        <w:t>EO</w:t>
      </w:r>
      <w:r w:rsidR="004B7296">
        <w:rPr>
          <w:bCs/>
          <w:sz w:val="28"/>
          <w:szCs w:val="28"/>
        </w:rPr>
        <w:t xml:space="preserve"> 20-0004. </w:t>
      </w:r>
    </w:p>
    <w:p w14:paraId="4C73937D" w14:textId="77777777" w:rsidR="00BB0E42" w:rsidRPr="00DB3840" w:rsidRDefault="00BB0E42" w:rsidP="007F54A2">
      <w:pPr>
        <w:spacing w:line="480" w:lineRule="auto"/>
        <w:ind w:firstLine="720"/>
        <w:jc w:val="both"/>
        <w:rPr>
          <w:bCs/>
          <w:sz w:val="28"/>
          <w:szCs w:val="28"/>
        </w:rPr>
      </w:pPr>
    </w:p>
    <w:p w14:paraId="43208A7A" w14:textId="2BC13CFE" w:rsidR="002508B4" w:rsidRPr="00DB3840" w:rsidRDefault="000C12C9" w:rsidP="007F54A2">
      <w:pPr>
        <w:ind w:firstLine="720"/>
        <w:jc w:val="both"/>
        <w:rPr>
          <w:sz w:val="28"/>
          <w:szCs w:val="28"/>
        </w:rPr>
      </w:pPr>
      <w:r w:rsidRPr="00DB3840">
        <w:rPr>
          <w:sz w:val="28"/>
          <w:szCs w:val="28"/>
        </w:rPr>
        <w:t xml:space="preserve">DATED </w:t>
      </w:r>
      <w:r w:rsidRPr="00D854D3">
        <w:rPr>
          <w:sz w:val="28"/>
          <w:szCs w:val="28"/>
        </w:rPr>
        <w:t xml:space="preserve">this </w:t>
      </w:r>
      <w:r w:rsidR="009C3D3F" w:rsidRPr="009C3D3F">
        <w:rPr>
          <w:sz w:val="28"/>
          <w:szCs w:val="28"/>
          <w:u w:val="single"/>
        </w:rPr>
        <w:t>25</w:t>
      </w:r>
      <w:r w:rsidR="009C3D3F">
        <w:rPr>
          <w:sz w:val="28"/>
          <w:szCs w:val="28"/>
        </w:rPr>
        <w:t xml:space="preserve"> </w:t>
      </w:r>
      <w:r w:rsidRPr="00D854D3">
        <w:rPr>
          <w:sz w:val="28"/>
          <w:szCs w:val="28"/>
        </w:rPr>
        <w:t xml:space="preserve">day </w:t>
      </w:r>
      <w:r w:rsidRPr="00DB3840">
        <w:rPr>
          <w:sz w:val="28"/>
          <w:szCs w:val="28"/>
        </w:rPr>
        <w:t xml:space="preserve">of </w:t>
      </w:r>
      <w:r w:rsidR="009C3D3F" w:rsidRPr="009C3D3F">
        <w:rPr>
          <w:sz w:val="28"/>
          <w:szCs w:val="28"/>
          <w:u w:val="single"/>
        </w:rPr>
        <w:t>March</w:t>
      </w:r>
      <w:r w:rsidR="009C3D3F">
        <w:rPr>
          <w:sz w:val="28"/>
          <w:szCs w:val="28"/>
          <w:u w:val="single"/>
        </w:rPr>
        <w:t xml:space="preserve"> </w:t>
      </w:r>
      <w:r w:rsidR="00CC6458" w:rsidRPr="00DB3840">
        <w:rPr>
          <w:sz w:val="28"/>
          <w:szCs w:val="28"/>
        </w:rPr>
        <w:t xml:space="preserve">, </w:t>
      </w:r>
      <w:r w:rsidRPr="00DB3840">
        <w:rPr>
          <w:sz w:val="28"/>
          <w:szCs w:val="28"/>
        </w:rPr>
        <w:t>20</w:t>
      </w:r>
      <w:r w:rsidR="00CC6458">
        <w:rPr>
          <w:sz w:val="28"/>
          <w:szCs w:val="28"/>
        </w:rPr>
        <w:t>2</w:t>
      </w:r>
      <w:r w:rsidR="009C3D3F">
        <w:rPr>
          <w:sz w:val="28"/>
          <w:szCs w:val="28"/>
        </w:rPr>
        <w:t>1</w:t>
      </w:r>
      <w:r w:rsidRPr="00DB3840">
        <w:rPr>
          <w:sz w:val="28"/>
          <w:szCs w:val="28"/>
        </w:rPr>
        <w:t>.</w:t>
      </w:r>
    </w:p>
    <w:p w14:paraId="526D4A87" w14:textId="77777777" w:rsidR="002508B4" w:rsidRPr="00DB3840" w:rsidRDefault="002508B4" w:rsidP="007F54A2">
      <w:pPr>
        <w:jc w:val="both"/>
        <w:rPr>
          <w:sz w:val="28"/>
          <w:szCs w:val="28"/>
        </w:rPr>
      </w:pPr>
    </w:p>
    <w:p w14:paraId="45D0FF93" w14:textId="77777777" w:rsidR="002508B4" w:rsidRPr="00DB3840" w:rsidRDefault="002508B4" w:rsidP="007F54A2">
      <w:pPr>
        <w:jc w:val="both"/>
        <w:rPr>
          <w:sz w:val="28"/>
          <w:szCs w:val="28"/>
        </w:rPr>
      </w:pPr>
    </w:p>
    <w:p w14:paraId="7DE97EC5" w14:textId="77777777" w:rsidR="002508B4" w:rsidRPr="00DB3840" w:rsidRDefault="000C12C9" w:rsidP="007F54A2">
      <w:pPr>
        <w:jc w:val="both"/>
        <w:rPr>
          <w:sz w:val="28"/>
          <w:szCs w:val="28"/>
        </w:rPr>
      </w:pPr>
      <w:r w:rsidRPr="00DB3840">
        <w:rPr>
          <w:sz w:val="28"/>
          <w:szCs w:val="28"/>
        </w:rPr>
        <w:t xml:space="preserve">                                             </w:t>
      </w:r>
      <w:r w:rsidRPr="00DB3840">
        <w:rPr>
          <w:sz w:val="28"/>
          <w:szCs w:val="28"/>
        </w:rPr>
        <w:tab/>
        <w:t xml:space="preserve">   ___/s/______________________</w:t>
      </w:r>
    </w:p>
    <w:p w14:paraId="06FCF59D" w14:textId="35887BD6" w:rsidR="00504D26" w:rsidRPr="00DB3840" w:rsidRDefault="000C12C9" w:rsidP="00D854D3">
      <w:pPr>
        <w:jc w:val="both"/>
        <w:rPr>
          <w:sz w:val="28"/>
          <w:szCs w:val="28"/>
        </w:rPr>
      </w:pPr>
      <w:r w:rsidRPr="00DB3840">
        <w:rPr>
          <w:sz w:val="28"/>
          <w:szCs w:val="28"/>
        </w:rPr>
        <w:t xml:space="preserve">                                             </w:t>
      </w:r>
      <w:r w:rsidRPr="00DB3840">
        <w:rPr>
          <w:sz w:val="28"/>
          <w:szCs w:val="28"/>
        </w:rPr>
        <w:tab/>
      </w:r>
    </w:p>
    <w:p w14:paraId="54FAB896" w14:textId="3D1A7CAE" w:rsidR="002508B4" w:rsidRPr="007F54A2" w:rsidRDefault="000C12C9" w:rsidP="00A243C4">
      <w:pPr>
        <w:jc w:val="both"/>
        <w:rPr>
          <w:b/>
          <w:bCs/>
          <w:sz w:val="28"/>
          <w:szCs w:val="28"/>
        </w:rPr>
      </w:pPr>
      <w:r w:rsidRPr="00DB3840">
        <w:rPr>
          <w:b/>
          <w:bCs/>
          <w:sz w:val="28"/>
          <w:szCs w:val="28"/>
        </w:rPr>
        <w:t xml:space="preserve"> </w:t>
      </w:r>
    </w:p>
    <w:sectPr w:rsidR="002508B4" w:rsidRPr="007F54A2" w:rsidSect="001037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25AE0" w14:textId="77777777" w:rsidR="0052621C" w:rsidRDefault="0052621C">
      <w:r>
        <w:separator/>
      </w:r>
    </w:p>
  </w:endnote>
  <w:endnote w:type="continuationSeparator" w:id="0">
    <w:p w14:paraId="018ECA51" w14:textId="77777777" w:rsidR="0052621C" w:rsidRDefault="0052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BEC0" w14:textId="77777777" w:rsidR="0021015C" w:rsidRDefault="0021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14:paraId="475CD14F" w14:textId="58005AC0" w:rsidR="0021015C" w:rsidRDefault="000C12C9">
        <w:pPr>
          <w:pStyle w:val="Footer"/>
          <w:jc w:val="center"/>
        </w:pPr>
        <w:r>
          <w:fldChar w:fldCharType="begin"/>
        </w:r>
        <w:r>
          <w:instrText xml:space="preserve"> PAGE   \* MERGEFORMAT </w:instrText>
        </w:r>
        <w:r>
          <w:fldChar w:fldCharType="separate"/>
        </w:r>
        <w:r w:rsidR="00F00EAE">
          <w:rPr>
            <w:noProof/>
          </w:rPr>
          <w:t>5</w:t>
        </w:r>
        <w:r>
          <w:rPr>
            <w:noProof/>
          </w:rPr>
          <w:fldChar w:fldCharType="end"/>
        </w:r>
      </w:p>
    </w:sdtContent>
  </w:sdt>
  <w:p w14:paraId="4ED69E23" w14:textId="77777777" w:rsidR="0021015C" w:rsidRDefault="0021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2D50" w14:textId="77777777" w:rsidR="0021015C" w:rsidRDefault="0021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00421" w14:textId="77777777" w:rsidR="0052621C" w:rsidRDefault="0052621C" w:rsidP="002508B4">
      <w:r>
        <w:separator/>
      </w:r>
    </w:p>
  </w:footnote>
  <w:footnote w:type="continuationSeparator" w:id="0">
    <w:p w14:paraId="6C8963E7" w14:textId="77777777" w:rsidR="0052621C" w:rsidRDefault="0052621C" w:rsidP="002508B4">
      <w:r>
        <w:continuationSeparator/>
      </w:r>
    </w:p>
  </w:footnote>
  <w:footnote w:id="1">
    <w:p w14:paraId="17CCA93F" w14:textId="68924FA4" w:rsidR="00995D6A" w:rsidRDefault="000C12C9">
      <w:pPr>
        <w:pStyle w:val="FootnoteText"/>
        <w:rPr>
          <w:sz w:val="24"/>
          <w:szCs w:val="24"/>
        </w:rPr>
      </w:pPr>
      <w:r>
        <w:rPr>
          <w:rStyle w:val="FootnoteReference"/>
        </w:rPr>
        <w:footnoteRef/>
      </w:r>
      <w:r>
        <w:tab/>
      </w:r>
      <w:r w:rsidRPr="001E0E3F">
        <w:rPr>
          <w:sz w:val="24"/>
          <w:szCs w:val="24"/>
        </w:rPr>
        <w:t>The courts have not considered a challenge to the SSAA yet.</w:t>
      </w:r>
    </w:p>
    <w:p w14:paraId="50062570" w14:textId="77777777" w:rsidR="001E0E3F" w:rsidRPr="001E0E3F" w:rsidRDefault="001E0E3F">
      <w:pPr>
        <w:pStyle w:val="FootnoteText"/>
        <w:rPr>
          <w:sz w:val="24"/>
          <w:szCs w:val="24"/>
        </w:rPr>
      </w:pPr>
    </w:p>
  </w:footnote>
  <w:footnote w:id="2">
    <w:p w14:paraId="39EB69F0" w14:textId="01B6FCDC" w:rsidR="004E32AB" w:rsidRDefault="000C12C9">
      <w:pPr>
        <w:pStyle w:val="FootnoteText"/>
        <w:rPr>
          <w:sz w:val="24"/>
          <w:szCs w:val="24"/>
        </w:rPr>
      </w:pPr>
      <w:r>
        <w:rPr>
          <w:rStyle w:val="FootnoteReference"/>
        </w:rPr>
        <w:footnoteRef/>
      </w:r>
      <w:r>
        <w:tab/>
      </w:r>
      <w:r w:rsidRPr="00FB4BE8">
        <w:rPr>
          <w:sz w:val="24"/>
          <w:szCs w:val="24"/>
        </w:rPr>
        <w:t>Presumably the same analysis would apply to the SSAA.</w:t>
      </w:r>
    </w:p>
    <w:p w14:paraId="640F2DCE" w14:textId="77777777" w:rsidR="00FB4BE8" w:rsidRPr="004E32AB" w:rsidRDefault="00FB4BE8">
      <w:pPr>
        <w:pStyle w:val="FootnoteText"/>
        <w:rPr>
          <w:b/>
        </w:rPr>
      </w:pPr>
    </w:p>
  </w:footnote>
  <w:footnote w:id="3">
    <w:p w14:paraId="73C5B558" w14:textId="78C45DE2" w:rsidR="003E119B" w:rsidRPr="00126328" w:rsidRDefault="000C12C9" w:rsidP="003E119B">
      <w:pPr>
        <w:pStyle w:val="FootnoteText"/>
        <w:keepLines/>
        <w:pageBreakBefore/>
        <w:jc w:val="both"/>
        <w:rPr>
          <w:i/>
          <w:iCs/>
          <w:sz w:val="24"/>
          <w:szCs w:val="24"/>
        </w:rPr>
      </w:pPr>
      <w:r>
        <w:rPr>
          <w:rStyle w:val="FootnoteReference"/>
        </w:rPr>
        <w:footnoteRef/>
      </w:r>
      <w:r>
        <w:tab/>
      </w:r>
      <w:r w:rsidRPr="00126328">
        <w:rPr>
          <w:sz w:val="24"/>
          <w:szCs w:val="24"/>
        </w:rPr>
        <w:t xml:space="preserve">In 2016, after reviewing the subsequent opinions and rule amendments of other jurisdictions, Maine issued a second opinion “re-evaluating” Me. Op. 119 and “recommend[ing] that [the rule] be amended consistent with that change enacted by other states.” Me. Op. 214 (May 1, 2016). “After significant consideration,” Maine’s rules committee “felt it unwise to craft a rule of general applicability for this specific issue,” and instead, suggested a new opinion clarifying “that counseling or assisting a client to engage in conduct that conforms to Maine laws regarding marijuana does not violate Rule 1.2.” Me. Op. 215 (March 1, 2017) (vacating Me. Op. 214). The following year Maine issued a superseding opinion recognizing the inconsistency between the rule and the guidance but concluding that the ethical rules are rules of reason, and “[d]efining Rule 1.2 too strictly on matters involving marijuana would inhibit lawyers from assisting clients in testing the boundaries and validity of existing law, which is recognized to be an integral part of the development of the law.“ </w:t>
      </w:r>
      <w:r w:rsidRPr="00126328">
        <w:rPr>
          <w:i/>
          <w:iCs/>
          <w:sz w:val="24"/>
          <w:szCs w:val="24"/>
        </w:rPr>
        <w:t>Id.</w:t>
      </w:r>
      <w:r w:rsidRPr="00126328">
        <w:rPr>
          <w:sz w:val="24"/>
          <w:szCs w:val="24"/>
        </w:rPr>
        <w:t xml:space="preserve"> The new Maine opinion concluded that “[t]he public’s need for legal assistance and right to receive it are substantial, and concerns about upholding respect for the law and legal institutions are not significant enough to outweigh those considerations in this circumstance.” </w:t>
      </w:r>
      <w:r w:rsidRPr="00126328">
        <w:rPr>
          <w:i/>
          <w:iCs/>
          <w:sz w:val="24"/>
          <w:szCs w:val="24"/>
        </w:rPr>
        <w:t>Id</w:t>
      </w:r>
    </w:p>
    <w:p w14:paraId="02CAE1BD" w14:textId="77777777" w:rsidR="003E119B" w:rsidRDefault="003E119B" w:rsidP="003E119B">
      <w:pPr>
        <w:pStyle w:val="FootnoteText"/>
        <w:keepLines/>
        <w:pageBreakBefor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F730" w14:textId="77777777" w:rsidR="0021015C" w:rsidRDefault="00210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1BF7" w14:textId="77777777" w:rsidR="0021015C" w:rsidRDefault="0021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6F59" w14:textId="77777777" w:rsidR="0021015C" w:rsidRDefault="0021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EE4"/>
    <w:multiLevelType w:val="hybridMultilevel"/>
    <w:tmpl w:val="8B1884D4"/>
    <w:lvl w:ilvl="0" w:tplc="24A4FA1C">
      <w:start w:val="1"/>
      <w:numFmt w:val="bullet"/>
      <w:lvlText w:val=""/>
      <w:lvlJc w:val="left"/>
      <w:pPr>
        <w:ind w:left="1517" w:hanging="360"/>
      </w:pPr>
      <w:rPr>
        <w:rFonts w:ascii="Symbol" w:hAnsi="Symbol" w:hint="default"/>
      </w:rPr>
    </w:lvl>
    <w:lvl w:ilvl="1" w:tplc="BD98F3EE" w:tentative="1">
      <w:start w:val="1"/>
      <w:numFmt w:val="bullet"/>
      <w:lvlText w:val="o"/>
      <w:lvlJc w:val="left"/>
      <w:pPr>
        <w:ind w:left="2237" w:hanging="360"/>
      </w:pPr>
      <w:rPr>
        <w:rFonts w:ascii="Courier New" w:hAnsi="Courier New" w:cs="Courier New" w:hint="default"/>
      </w:rPr>
    </w:lvl>
    <w:lvl w:ilvl="2" w:tplc="999C793C" w:tentative="1">
      <w:start w:val="1"/>
      <w:numFmt w:val="bullet"/>
      <w:lvlText w:val=""/>
      <w:lvlJc w:val="left"/>
      <w:pPr>
        <w:ind w:left="2957" w:hanging="360"/>
      </w:pPr>
      <w:rPr>
        <w:rFonts w:ascii="Wingdings" w:hAnsi="Wingdings" w:hint="default"/>
      </w:rPr>
    </w:lvl>
    <w:lvl w:ilvl="3" w:tplc="958A7294" w:tentative="1">
      <w:start w:val="1"/>
      <w:numFmt w:val="bullet"/>
      <w:lvlText w:val=""/>
      <w:lvlJc w:val="left"/>
      <w:pPr>
        <w:ind w:left="3677" w:hanging="360"/>
      </w:pPr>
      <w:rPr>
        <w:rFonts w:ascii="Symbol" w:hAnsi="Symbol" w:hint="default"/>
      </w:rPr>
    </w:lvl>
    <w:lvl w:ilvl="4" w:tplc="FAE857F0" w:tentative="1">
      <w:start w:val="1"/>
      <w:numFmt w:val="bullet"/>
      <w:lvlText w:val="o"/>
      <w:lvlJc w:val="left"/>
      <w:pPr>
        <w:ind w:left="4397" w:hanging="360"/>
      </w:pPr>
      <w:rPr>
        <w:rFonts w:ascii="Courier New" w:hAnsi="Courier New" w:cs="Courier New" w:hint="default"/>
      </w:rPr>
    </w:lvl>
    <w:lvl w:ilvl="5" w:tplc="13E46B12" w:tentative="1">
      <w:start w:val="1"/>
      <w:numFmt w:val="bullet"/>
      <w:lvlText w:val=""/>
      <w:lvlJc w:val="left"/>
      <w:pPr>
        <w:ind w:left="5117" w:hanging="360"/>
      </w:pPr>
      <w:rPr>
        <w:rFonts w:ascii="Wingdings" w:hAnsi="Wingdings" w:hint="default"/>
      </w:rPr>
    </w:lvl>
    <w:lvl w:ilvl="6" w:tplc="0A0CDB76" w:tentative="1">
      <w:start w:val="1"/>
      <w:numFmt w:val="bullet"/>
      <w:lvlText w:val=""/>
      <w:lvlJc w:val="left"/>
      <w:pPr>
        <w:ind w:left="5837" w:hanging="360"/>
      </w:pPr>
      <w:rPr>
        <w:rFonts w:ascii="Symbol" w:hAnsi="Symbol" w:hint="default"/>
      </w:rPr>
    </w:lvl>
    <w:lvl w:ilvl="7" w:tplc="F3B88B38" w:tentative="1">
      <w:start w:val="1"/>
      <w:numFmt w:val="bullet"/>
      <w:lvlText w:val="o"/>
      <w:lvlJc w:val="left"/>
      <w:pPr>
        <w:ind w:left="6557" w:hanging="360"/>
      </w:pPr>
      <w:rPr>
        <w:rFonts w:ascii="Courier New" w:hAnsi="Courier New" w:cs="Courier New" w:hint="default"/>
      </w:rPr>
    </w:lvl>
    <w:lvl w:ilvl="8" w:tplc="82209DC8" w:tentative="1">
      <w:start w:val="1"/>
      <w:numFmt w:val="bullet"/>
      <w:lvlText w:val=""/>
      <w:lvlJc w:val="left"/>
      <w:pPr>
        <w:ind w:left="7277" w:hanging="360"/>
      </w:pPr>
      <w:rPr>
        <w:rFonts w:ascii="Wingdings" w:hAnsi="Wingdings" w:hint="default"/>
      </w:rPr>
    </w:lvl>
  </w:abstractNum>
  <w:abstractNum w:abstractNumId="1" w15:restartNumberingAfterBreak="0">
    <w:nsid w:val="0BE45530"/>
    <w:multiLevelType w:val="hybridMultilevel"/>
    <w:tmpl w:val="154A3BAC"/>
    <w:lvl w:ilvl="0" w:tplc="8F12124E">
      <w:start w:val="1"/>
      <w:numFmt w:val="upperLetter"/>
      <w:lvlText w:val="%1."/>
      <w:lvlJc w:val="left"/>
      <w:pPr>
        <w:ind w:left="2340" w:hanging="360"/>
      </w:pPr>
    </w:lvl>
    <w:lvl w:ilvl="1" w:tplc="7F02D572">
      <w:start w:val="1"/>
      <w:numFmt w:val="lowerLetter"/>
      <w:lvlText w:val="%2."/>
      <w:lvlJc w:val="left"/>
      <w:pPr>
        <w:ind w:left="4500" w:hanging="360"/>
      </w:pPr>
    </w:lvl>
    <w:lvl w:ilvl="2" w:tplc="37669A8A" w:tentative="1">
      <w:start w:val="1"/>
      <w:numFmt w:val="lowerRoman"/>
      <w:lvlText w:val="%3."/>
      <w:lvlJc w:val="right"/>
      <w:pPr>
        <w:ind w:left="5220" w:hanging="180"/>
      </w:pPr>
    </w:lvl>
    <w:lvl w:ilvl="3" w:tplc="18A4A786" w:tentative="1">
      <w:start w:val="1"/>
      <w:numFmt w:val="decimal"/>
      <w:lvlText w:val="%4."/>
      <w:lvlJc w:val="left"/>
      <w:pPr>
        <w:ind w:left="5940" w:hanging="360"/>
      </w:pPr>
    </w:lvl>
    <w:lvl w:ilvl="4" w:tplc="6CCAE4B2" w:tentative="1">
      <w:start w:val="1"/>
      <w:numFmt w:val="lowerLetter"/>
      <w:lvlText w:val="%5."/>
      <w:lvlJc w:val="left"/>
      <w:pPr>
        <w:ind w:left="6660" w:hanging="360"/>
      </w:pPr>
    </w:lvl>
    <w:lvl w:ilvl="5" w:tplc="042EC18E" w:tentative="1">
      <w:start w:val="1"/>
      <w:numFmt w:val="lowerRoman"/>
      <w:lvlText w:val="%6."/>
      <w:lvlJc w:val="right"/>
      <w:pPr>
        <w:ind w:left="7380" w:hanging="180"/>
      </w:pPr>
    </w:lvl>
    <w:lvl w:ilvl="6" w:tplc="DAAA5B60" w:tentative="1">
      <w:start w:val="1"/>
      <w:numFmt w:val="decimal"/>
      <w:lvlText w:val="%7."/>
      <w:lvlJc w:val="left"/>
      <w:pPr>
        <w:ind w:left="8100" w:hanging="360"/>
      </w:pPr>
    </w:lvl>
    <w:lvl w:ilvl="7" w:tplc="019E6DD2" w:tentative="1">
      <w:start w:val="1"/>
      <w:numFmt w:val="lowerLetter"/>
      <w:lvlText w:val="%8."/>
      <w:lvlJc w:val="left"/>
      <w:pPr>
        <w:ind w:left="8820" w:hanging="360"/>
      </w:pPr>
    </w:lvl>
    <w:lvl w:ilvl="8" w:tplc="6F849136" w:tentative="1">
      <w:start w:val="1"/>
      <w:numFmt w:val="lowerRoman"/>
      <w:lvlText w:val="%9."/>
      <w:lvlJc w:val="right"/>
      <w:pPr>
        <w:ind w:left="9540" w:hanging="180"/>
      </w:pPr>
    </w:lvl>
  </w:abstractNum>
  <w:abstractNum w:abstractNumId="2" w15:restartNumberingAfterBreak="0">
    <w:nsid w:val="25956BDA"/>
    <w:multiLevelType w:val="hybridMultilevel"/>
    <w:tmpl w:val="E5AA4C36"/>
    <w:lvl w:ilvl="0" w:tplc="85A2166A">
      <w:start w:val="1"/>
      <w:numFmt w:val="decimal"/>
      <w:lvlText w:val="%1."/>
      <w:lvlJc w:val="left"/>
      <w:pPr>
        <w:ind w:left="2520" w:hanging="360"/>
      </w:pPr>
    </w:lvl>
    <w:lvl w:ilvl="1" w:tplc="3E967856" w:tentative="1">
      <w:start w:val="1"/>
      <w:numFmt w:val="lowerLetter"/>
      <w:lvlText w:val="%2."/>
      <w:lvlJc w:val="left"/>
      <w:pPr>
        <w:ind w:left="3240" w:hanging="360"/>
      </w:pPr>
    </w:lvl>
    <w:lvl w:ilvl="2" w:tplc="DEAAE338" w:tentative="1">
      <w:start w:val="1"/>
      <w:numFmt w:val="lowerRoman"/>
      <w:lvlText w:val="%3."/>
      <w:lvlJc w:val="right"/>
      <w:pPr>
        <w:ind w:left="3960" w:hanging="180"/>
      </w:pPr>
    </w:lvl>
    <w:lvl w:ilvl="3" w:tplc="62B07342" w:tentative="1">
      <w:start w:val="1"/>
      <w:numFmt w:val="decimal"/>
      <w:lvlText w:val="%4."/>
      <w:lvlJc w:val="left"/>
      <w:pPr>
        <w:ind w:left="4680" w:hanging="360"/>
      </w:pPr>
    </w:lvl>
    <w:lvl w:ilvl="4" w:tplc="3F1C610C" w:tentative="1">
      <w:start w:val="1"/>
      <w:numFmt w:val="lowerLetter"/>
      <w:lvlText w:val="%5."/>
      <w:lvlJc w:val="left"/>
      <w:pPr>
        <w:ind w:left="5400" w:hanging="360"/>
      </w:pPr>
    </w:lvl>
    <w:lvl w:ilvl="5" w:tplc="85EACC32" w:tentative="1">
      <w:start w:val="1"/>
      <w:numFmt w:val="lowerRoman"/>
      <w:lvlText w:val="%6."/>
      <w:lvlJc w:val="right"/>
      <w:pPr>
        <w:ind w:left="6120" w:hanging="180"/>
      </w:pPr>
    </w:lvl>
    <w:lvl w:ilvl="6" w:tplc="2014F0B8" w:tentative="1">
      <w:start w:val="1"/>
      <w:numFmt w:val="decimal"/>
      <w:lvlText w:val="%7."/>
      <w:lvlJc w:val="left"/>
      <w:pPr>
        <w:ind w:left="6840" w:hanging="360"/>
      </w:pPr>
    </w:lvl>
    <w:lvl w:ilvl="7" w:tplc="740670F4" w:tentative="1">
      <w:start w:val="1"/>
      <w:numFmt w:val="lowerLetter"/>
      <w:lvlText w:val="%8."/>
      <w:lvlJc w:val="left"/>
      <w:pPr>
        <w:ind w:left="7560" w:hanging="360"/>
      </w:pPr>
    </w:lvl>
    <w:lvl w:ilvl="8" w:tplc="DB7CC538" w:tentative="1">
      <w:start w:val="1"/>
      <w:numFmt w:val="lowerRoman"/>
      <w:lvlText w:val="%9."/>
      <w:lvlJc w:val="right"/>
      <w:pPr>
        <w:ind w:left="8280" w:hanging="180"/>
      </w:pPr>
    </w:lvl>
  </w:abstractNum>
  <w:abstractNum w:abstractNumId="3" w15:restartNumberingAfterBreak="0">
    <w:nsid w:val="29DF7A1E"/>
    <w:multiLevelType w:val="hybridMultilevel"/>
    <w:tmpl w:val="1220A576"/>
    <w:lvl w:ilvl="0" w:tplc="875C5D04">
      <w:start w:val="1"/>
      <w:numFmt w:val="upperLetter"/>
      <w:lvlText w:val="%1."/>
      <w:lvlJc w:val="left"/>
      <w:pPr>
        <w:ind w:left="720" w:hanging="360"/>
      </w:pPr>
      <w:rPr>
        <w:rFonts w:hint="default"/>
      </w:rPr>
    </w:lvl>
    <w:lvl w:ilvl="1" w:tplc="D8BE748E" w:tentative="1">
      <w:start w:val="1"/>
      <w:numFmt w:val="lowerLetter"/>
      <w:lvlText w:val="%2."/>
      <w:lvlJc w:val="left"/>
      <w:pPr>
        <w:ind w:left="1440" w:hanging="360"/>
      </w:pPr>
    </w:lvl>
    <w:lvl w:ilvl="2" w:tplc="E264A7EC" w:tentative="1">
      <w:start w:val="1"/>
      <w:numFmt w:val="lowerRoman"/>
      <w:lvlText w:val="%3."/>
      <w:lvlJc w:val="right"/>
      <w:pPr>
        <w:ind w:left="2160" w:hanging="180"/>
      </w:pPr>
    </w:lvl>
    <w:lvl w:ilvl="3" w:tplc="A746BF06" w:tentative="1">
      <w:start w:val="1"/>
      <w:numFmt w:val="decimal"/>
      <w:lvlText w:val="%4."/>
      <w:lvlJc w:val="left"/>
      <w:pPr>
        <w:ind w:left="2880" w:hanging="360"/>
      </w:pPr>
    </w:lvl>
    <w:lvl w:ilvl="4" w:tplc="E5D48552" w:tentative="1">
      <w:start w:val="1"/>
      <w:numFmt w:val="lowerLetter"/>
      <w:lvlText w:val="%5."/>
      <w:lvlJc w:val="left"/>
      <w:pPr>
        <w:ind w:left="3600" w:hanging="360"/>
      </w:pPr>
    </w:lvl>
    <w:lvl w:ilvl="5" w:tplc="19205F7A" w:tentative="1">
      <w:start w:val="1"/>
      <w:numFmt w:val="lowerRoman"/>
      <w:lvlText w:val="%6."/>
      <w:lvlJc w:val="right"/>
      <w:pPr>
        <w:ind w:left="4320" w:hanging="180"/>
      </w:pPr>
    </w:lvl>
    <w:lvl w:ilvl="6" w:tplc="48460F5C" w:tentative="1">
      <w:start w:val="1"/>
      <w:numFmt w:val="decimal"/>
      <w:lvlText w:val="%7."/>
      <w:lvlJc w:val="left"/>
      <w:pPr>
        <w:ind w:left="5040" w:hanging="360"/>
      </w:pPr>
    </w:lvl>
    <w:lvl w:ilvl="7" w:tplc="A4085304" w:tentative="1">
      <w:start w:val="1"/>
      <w:numFmt w:val="lowerLetter"/>
      <w:lvlText w:val="%8."/>
      <w:lvlJc w:val="left"/>
      <w:pPr>
        <w:ind w:left="5760" w:hanging="360"/>
      </w:pPr>
    </w:lvl>
    <w:lvl w:ilvl="8" w:tplc="46C698F8" w:tentative="1">
      <w:start w:val="1"/>
      <w:numFmt w:val="lowerRoman"/>
      <w:lvlText w:val="%9."/>
      <w:lvlJc w:val="right"/>
      <w:pPr>
        <w:ind w:left="6480" w:hanging="180"/>
      </w:pPr>
    </w:lvl>
  </w:abstractNum>
  <w:abstractNum w:abstractNumId="4" w15:restartNumberingAfterBreak="0">
    <w:nsid w:val="385F5BFE"/>
    <w:multiLevelType w:val="hybridMultilevel"/>
    <w:tmpl w:val="79D2ED20"/>
    <w:lvl w:ilvl="0" w:tplc="0526EE6E">
      <w:start w:val="1"/>
      <w:numFmt w:val="upperLetter"/>
      <w:lvlText w:val="%1."/>
      <w:lvlJc w:val="left"/>
      <w:pPr>
        <w:ind w:left="720" w:hanging="360"/>
      </w:pPr>
      <w:rPr>
        <w:rFonts w:hint="default"/>
      </w:rPr>
    </w:lvl>
    <w:lvl w:ilvl="1" w:tplc="933CEA24" w:tentative="1">
      <w:start w:val="1"/>
      <w:numFmt w:val="lowerLetter"/>
      <w:lvlText w:val="%2."/>
      <w:lvlJc w:val="left"/>
      <w:pPr>
        <w:ind w:left="1440" w:hanging="360"/>
      </w:pPr>
    </w:lvl>
    <w:lvl w:ilvl="2" w:tplc="0DACCD80" w:tentative="1">
      <w:start w:val="1"/>
      <w:numFmt w:val="lowerRoman"/>
      <w:lvlText w:val="%3."/>
      <w:lvlJc w:val="right"/>
      <w:pPr>
        <w:ind w:left="2160" w:hanging="180"/>
      </w:pPr>
    </w:lvl>
    <w:lvl w:ilvl="3" w:tplc="31841434" w:tentative="1">
      <w:start w:val="1"/>
      <w:numFmt w:val="decimal"/>
      <w:lvlText w:val="%4."/>
      <w:lvlJc w:val="left"/>
      <w:pPr>
        <w:ind w:left="2880" w:hanging="360"/>
      </w:pPr>
    </w:lvl>
    <w:lvl w:ilvl="4" w:tplc="528AFFD8" w:tentative="1">
      <w:start w:val="1"/>
      <w:numFmt w:val="lowerLetter"/>
      <w:lvlText w:val="%5."/>
      <w:lvlJc w:val="left"/>
      <w:pPr>
        <w:ind w:left="3600" w:hanging="360"/>
      </w:pPr>
    </w:lvl>
    <w:lvl w:ilvl="5" w:tplc="BFD24ED2" w:tentative="1">
      <w:start w:val="1"/>
      <w:numFmt w:val="lowerRoman"/>
      <w:lvlText w:val="%6."/>
      <w:lvlJc w:val="right"/>
      <w:pPr>
        <w:ind w:left="4320" w:hanging="180"/>
      </w:pPr>
    </w:lvl>
    <w:lvl w:ilvl="6" w:tplc="2A9C1274" w:tentative="1">
      <w:start w:val="1"/>
      <w:numFmt w:val="decimal"/>
      <w:lvlText w:val="%7."/>
      <w:lvlJc w:val="left"/>
      <w:pPr>
        <w:ind w:left="5040" w:hanging="360"/>
      </w:pPr>
    </w:lvl>
    <w:lvl w:ilvl="7" w:tplc="65120024" w:tentative="1">
      <w:start w:val="1"/>
      <w:numFmt w:val="lowerLetter"/>
      <w:lvlText w:val="%8."/>
      <w:lvlJc w:val="left"/>
      <w:pPr>
        <w:ind w:left="5760" w:hanging="360"/>
      </w:pPr>
    </w:lvl>
    <w:lvl w:ilvl="8" w:tplc="9C90EB42" w:tentative="1">
      <w:start w:val="1"/>
      <w:numFmt w:val="lowerRoman"/>
      <w:lvlText w:val="%9."/>
      <w:lvlJc w:val="right"/>
      <w:pPr>
        <w:ind w:left="6480" w:hanging="180"/>
      </w:pPr>
    </w:lvl>
  </w:abstractNum>
  <w:abstractNum w:abstractNumId="5" w15:restartNumberingAfterBreak="0">
    <w:nsid w:val="3A0634C4"/>
    <w:multiLevelType w:val="hybridMultilevel"/>
    <w:tmpl w:val="FB78F162"/>
    <w:lvl w:ilvl="0" w:tplc="05246F6C">
      <w:start w:val="1"/>
      <w:numFmt w:val="upperLetter"/>
      <w:lvlText w:val="%1."/>
      <w:lvlJc w:val="left"/>
      <w:pPr>
        <w:ind w:left="1080" w:hanging="360"/>
      </w:pPr>
      <w:rPr>
        <w:rFonts w:hint="default"/>
      </w:rPr>
    </w:lvl>
    <w:lvl w:ilvl="1" w:tplc="F11672AE" w:tentative="1">
      <w:start w:val="1"/>
      <w:numFmt w:val="lowerLetter"/>
      <w:lvlText w:val="%2."/>
      <w:lvlJc w:val="left"/>
      <w:pPr>
        <w:ind w:left="1800" w:hanging="360"/>
      </w:pPr>
    </w:lvl>
    <w:lvl w:ilvl="2" w:tplc="E9948F86" w:tentative="1">
      <w:start w:val="1"/>
      <w:numFmt w:val="lowerRoman"/>
      <w:lvlText w:val="%3."/>
      <w:lvlJc w:val="right"/>
      <w:pPr>
        <w:ind w:left="2520" w:hanging="180"/>
      </w:pPr>
    </w:lvl>
    <w:lvl w:ilvl="3" w:tplc="A30EE29E" w:tentative="1">
      <w:start w:val="1"/>
      <w:numFmt w:val="decimal"/>
      <w:lvlText w:val="%4."/>
      <w:lvlJc w:val="left"/>
      <w:pPr>
        <w:ind w:left="3240" w:hanging="360"/>
      </w:pPr>
    </w:lvl>
    <w:lvl w:ilvl="4" w:tplc="6D3857D0" w:tentative="1">
      <w:start w:val="1"/>
      <w:numFmt w:val="lowerLetter"/>
      <w:lvlText w:val="%5."/>
      <w:lvlJc w:val="left"/>
      <w:pPr>
        <w:ind w:left="3960" w:hanging="360"/>
      </w:pPr>
    </w:lvl>
    <w:lvl w:ilvl="5" w:tplc="3AF421E2" w:tentative="1">
      <w:start w:val="1"/>
      <w:numFmt w:val="lowerRoman"/>
      <w:lvlText w:val="%6."/>
      <w:lvlJc w:val="right"/>
      <w:pPr>
        <w:ind w:left="4680" w:hanging="180"/>
      </w:pPr>
    </w:lvl>
    <w:lvl w:ilvl="6" w:tplc="362A6D16" w:tentative="1">
      <w:start w:val="1"/>
      <w:numFmt w:val="decimal"/>
      <w:lvlText w:val="%7."/>
      <w:lvlJc w:val="left"/>
      <w:pPr>
        <w:ind w:left="5400" w:hanging="360"/>
      </w:pPr>
    </w:lvl>
    <w:lvl w:ilvl="7" w:tplc="58E25C66" w:tentative="1">
      <w:start w:val="1"/>
      <w:numFmt w:val="lowerLetter"/>
      <w:lvlText w:val="%8."/>
      <w:lvlJc w:val="left"/>
      <w:pPr>
        <w:ind w:left="6120" w:hanging="360"/>
      </w:pPr>
    </w:lvl>
    <w:lvl w:ilvl="8" w:tplc="4DE0EAAE" w:tentative="1">
      <w:start w:val="1"/>
      <w:numFmt w:val="lowerRoman"/>
      <w:lvlText w:val="%9."/>
      <w:lvlJc w:val="right"/>
      <w:pPr>
        <w:ind w:left="6840" w:hanging="180"/>
      </w:pPr>
    </w:lvl>
  </w:abstractNum>
  <w:abstractNum w:abstractNumId="6" w15:restartNumberingAfterBreak="0">
    <w:nsid w:val="5077200A"/>
    <w:multiLevelType w:val="hybridMultilevel"/>
    <w:tmpl w:val="11540488"/>
    <w:lvl w:ilvl="0" w:tplc="99549FC8">
      <w:start w:val="1"/>
      <w:numFmt w:val="upperRoman"/>
      <w:lvlText w:val="%1."/>
      <w:lvlJc w:val="left"/>
      <w:pPr>
        <w:ind w:left="1080" w:hanging="720"/>
      </w:pPr>
      <w:rPr>
        <w:rFonts w:hint="default"/>
      </w:rPr>
    </w:lvl>
    <w:lvl w:ilvl="1" w:tplc="4EE62BC4">
      <w:start w:val="1"/>
      <w:numFmt w:val="lowerLetter"/>
      <w:lvlText w:val="%2."/>
      <w:lvlJc w:val="left"/>
      <w:pPr>
        <w:ind w:left="1440" w:hanging="360"/>
      </w:pPr>
    </w:lvl>
    <w:lvl w:ilvl="2" w:tplc="6F5447E6" w:tentative="1">
      <w:start w:val="1"/>
      <w:numFmt w:val="lowerRoman"/>
      <w:lvlText w:val="%3."/>
      <w:lvlJc w:val="right"/>
      <w:pPr>
        <w:ind w:left="2160" w:hanging="180"/>
      </w:pPr>
    </w:lvl>
    <w:lvl w:ilvl="3" w:tplc="C08AF202" w:tentative="1">
      <w:start w:val="1"/>
      <w:numFmt w:val="decimal"/>
      <w:lvlText w:val="%4."/>
      <w:lvlJc w:val="left"/>
      <w:pPr>
        <w:ind w:left="2880" w:hanging="360"/>
      </w:pPr>
    </w:lvl>
    <w:lvl w:ilvl="4" w:tplc="FB28BA24" w:tentative="1">
      <w:start w:val="1"/>
      <w:numFmt w:val="lowerLetter"/>
      <w:lvlText w:val="%5."/>
      <w:lvlJc w:val="left"/>
      <w:pPr>
        <w:ind w:left="3600" w:hanging="360"/>
      </w:pPr>
    </w:lvl>
    <w:lvl w:ilvl="5" w:tplc="824E807C" w:tentative="1">
      <w:start w:val="1"/>
      <w:numFmt w:val="lowerRoman"/>
      <w:lvlText w:val="%6."/>
      <w:lvlJc w:val="right"/>
      <w:pPr>
        <w:ind w:left="4320" w:hanging="180"/>
      </w:pPr>
    </w:lvl>
    <w:lvl w:ilvl="6" w:tplc="986AA602" w:tentative="1">
      <w:start w:val="1"/>
      <w:numFmt w:val="decimal"/>
      <w:lvlText w:val="%7."/>
      <w:lvlJc w:val="left"/>
      <w:pPr>
        <w:ind w:left="5040" w:hanging="360"/>
      </w:pPr>
    </w:lvl>
    <w:lvl w:ilvl="7" w:tplc="383E1682" w:tentative="1">
      <w:start w:val="1"/>
      <w:numFmt w:val="lowerLetter"/>
      <w:lvlText w:val="%8."/>
      <w:lvlJc w:val="left"/>
      <w:pPr>
        <w:ind w:left="5760" w:hanging="360"/>
      </w:pPr>
    </w:lvl>
    <w:lvl w:ilvl="8" w:tplc="E69CB566" w:tentative="1">
      <w:start w:val="1"/>
      <w:numFmt w:val="lowerRoman"/>
      <w:lvlText w:val="%9."/>
      <w:lvlJc w:val="right"/>
      <w:pPr>
        <w:ind w:left="6480" w:hanging="180"/>
      </w:pPr>
    </w:lvl>
  </w:abstractNum>
  <w:abstractNum w:abstractNumId="7" w15:restartNumberingAfterBreak="0">
    <w:nsid w:val="56525AB3"/>
    <w:multiLevelType w:val="hybridMultilevel"/>
    <w:tmpl w:val="069AC646"/>
    <w:lvl w:ilvl="0" w:tplc="1A0CAA56">
      <w:start w:val="1"/>
      <w:numFmt w:val="lowerRoman"/>
      <w:lvlText w:val="%1."/>
      <w:lvlJc w:val="right"/>
      <w:pPr>
        <w:ind w:left="2520" w:hanging="360"/>
      </w:pPr>
    </w:lvl>
    <w:lvl w:ilvl="1" w:tplc="450EB81A" w:tentative="1">
      <w:start w:val="1"/>
      <w:numFmt w:val="lowerLetter"/>
      <w:lvlText w:val="%2."/>
      <w:lvlJc w:val="left"/>
      <w:pPr>
        <w:ind w:left="3240" w:hanging="360"/>
      </w:pPr>
    </w:lvl>
    <w:lvl w:ilvl="2" w:tplc="7562C220" w:tentative="1">
      <w:start w:val="1"/>
      <w:numFmt w:val="lowerRoman"/>
      <w:lvlText w:val="%3."/>
      <w:lvlJc w:val="right"/>
      <w:pPr>
        <w:ind w:left="3960" w:hanging="180"/>
      </w:pPr>
    </w:lvl>
    <w:lvl w:ilvl="3" w:tplc="EE084438" w:tentative="1">
      <w:start w:val="1"/>
      <w:numFmt w:val="decimal"/>
      <w:lvlText w:val="%4."/>
      <w:lvlJc w:val="left"/>
      <w:pPr>
        <w:ind w:left="4680" w:hanging="360"/>
      </w:pPr>
    </w:lvl>
    <w:lvl w:ilvl="4" w:tplc="655A869C" w:tentative="1">
      <w:start w:val="1"/>
      <w:numFmt w:val="lowerLetter"/>
      <w:lvlText w:val="%5."/>
      <w:lvlJc w:val="left"/>
      <w:pPr>
        <w:ind w:left="5400" w:hanging="360"/>
      </w:pPr>
    </w:lvl>
    <w:lvl w:ilvl="5" w:tplc="7B58863A" w:tentative="1">
      <w:start w:val="1"/>
      <w:numFmt w:val="lowerRoman"/>
      <w:lvlText w:val="%6."/>
      <w:lvlJc w:val="right"/>
      <w:pPr>
        <w:ind w:left="6120" w:hanging="180"/>
      </w:pPr>
    </w:lvl>
    <w:lvl w:ilvl="6" w:tplc="F44C8CDC" w:tentative="1">
      <w:start w:val="1"/>
      <w:numFmt w:val="decimal"/>
      <w:lvlText w:val="%7."/>
      <w:lvlJc w:val="left"/>
      <w:pPr>
        <w:ind w:left="6840" w:hanging="360"/>
      </w:pPr>
    </w:lvl>
    <w:lvl w:ilvl="7" w:tplc="5F6E959C" w:tentative="1">
      <w:start w:val="1"/>
      <w:numFmt w:val="lowerLetter"/>
      <w:lvlText w:val="%8."/>
      <w:lvlJc w:val="left"/>
      <w:pPr>
        <w:ind w:left="7560" w:hanging="360"/>
      </w:pPr>
    </w:lvl>
    <w:lvl w:ilvl="8" w:tplc="201E7E76" w:tentative="1">
      <w:start w:val="1"/>
      <w:numFmt w:val="lowerRoman"/>
      <w:lvlText w:val="%9."/>
      <w:lvlJc w:val="right"/>
      <w:pPr>
        <w:ind w:left="8280" w:hanging="180"/>
      </w:pPr>
    </w:lvl>
  </w:abstractNum>
  <w:abstractNum w:abstractNumId="8" w15:restartNumberingAfterBreak="0">
    <w:nsid w:val="5E702D22"/>
    <w:multiLevelType w:val="hybridMultilevel"/>
    <w:tmpl w:val="48AC7E24"/>
    <w:lvl w:ilvl="0" w:tplc="66FC5CBA">
      <w:start w:val="1"/>
      <w:numFmt w:val="bullet"/>
      <w:lvlText w:val=""/>
      <w:lvlJc w:val="left"/>
      <w:pPr>
        <w:ind w:left="1517" w:hanging="360"/>
      </w:pPr>
      <w:rPr>
        <w:rFonts w:ascii="Symbol" w:hAnsi="Symbol" w:hint="default"/>
      </w:rPr>
    </w:lvl>
    <w:lvl w:ilvl="1" w:tplc="D7DA45F4" w:tentative="1">
      <w:start w:val="1"/>
      <w:numFmt w:val="bullet"/>
      <w:lvlText w:val="o"/>
      <w:lvlJc w:val="left"/>
      <w:pPr>
        <w:ind w:left="2237" w:hanging="360"/>
      </w:pPr>
      <w:rPr>
        <w:rFonts w:ascii="Courier New" w:hAnsi="Courier New" w:cs="Courier New" w:hint="default"/>
      </w:rPr>
    </w:lvl>
    <w:lvl w:ilvl="2" w:tplc="249490E2" w:tentative="1">
      <w:start w:val="1"/>
      <w:numFmt w:val="bullet"/>
      <w:lvlText w:val=""/>
      <w:lvlJc w:val="left"/>
      <w:pPr>
        <w:ind w:left="2957" w:hanging="360"/>
      </w:pPr>
      <w:rPr>
        <w:rFonts w:ascii="Wingdings" w:hAnsi="Wingdings" w:hint="default"/>
      </w:rPr>
    </w:lvl>
    <w:lvl w:ilvl="3" w:tplc="A82E7506" w:tentative="1">
      <w:start w:val="1"/>
      <w:numFmt w:val="bullet"/>
      <w:lvlText w:val=""/>
      <w:lvlJc w:val="left"/>
      <w:pPr>
        <w:ind w:left="3677" w:hanging="360"/>
      </w:pPr>
      <w:rPr>
        <w:rFonts w:ascii="Symbol" w:hAnsi="Symbol" w:hint="default"/>
      </w:rPr>
    </w:lvl>
    <w:lvl w:ilvl="4" w:tplc="CD780AFA" w:tentative="1">
      <w:start w:val="1"/>
      <w:numFmt w:val="bullet"/>
      <w:lvlText w:val="o"/>
      <w:lvlJc w:val="left"/>
      <w:pPr>
        <w:ind w:left="4397" w:hanging="360"/>
      </w:pPr>
      <w:rPr>
        <w:rFonts w:ascii="Courier New" w:hAnsi="Courier New" w:cs="Courier New" w:hint="default"/>
      </w:rPr>
    </w:lvl>
    <w:lvl w:ilvl="5" w:tplc="9C3C1FC0" w:tentative="1">
      <w:start w:val="1"/>
      <w:numFmt w:val="bullet"/>
      <w:lvlText w:val=""/>
      <w:lvlJc w:val="left"/>
      <w:pPr>
        <w:ind w:left="5117" w:hanging="360"/>
      </w:pPr>
      <w:rPr>
        <w:rFonts w:ascii="Wingdings" w:hAnsi="Wingdings" w:hint="default"/>
      </w:rPr>
    </w:lvl>
    <w:lvl w:ilvl="6" w:tplc="89C85314" w:tentative="1">
      <w:start w:val="1"/>
      <w:numFmt w:val="bullet"/>
      <w:lvlText w:val=""/>
      <w:lvlJc w:val="left"/>
      <w:pPr>
        <w:ind w:left="5837" w:hanging="360"/>
      </w:pPr>
      <w:rPr>
        <w:rFonts w:ascii="Symbol" w:hAnsi="Symbol" w:hint="default"/>
      </w:rPr>
    </w:lvl>
    <w:lvl w:ilvl="7" w:tplc="7EB2D68A" w:tentative="1">
      <w:start w:val="1"/>
      <w:numFmt w:val="bullet"/>
      <w:lvlText w:val="o"/>
      <w:lvlJc w:val="left"/>
      <w:pPr>
        <w:ind w:left="6557" w:hanging="360"/>
      </w:pPr>
      <w:rPr>
        <w:rFonts w:ascii="Courier New" w:hAnsi="Courier New" w:cs="Courier New" w:hint="default"/>
      </w:rPr>
    </w:lvl>
    <w:lvl w:ilvl="8" w:tplc="06B6B380" w:tentative="1">
      <w:start w:val="1"/>
      <w:numFmt w:val="bullet"/>
      <w:lvlText w:val=""/>
      <w:lvlJc w:val="left"/>
      <w:pPr>
        <w:ind w:left="7277" w:hanging="360"/>
      </w:pPr>
      <w:rPr>
        <w:rFonts w:ascii="Wingdings" w:hAnsi="Wingdings" w:hint="default"/>
      </w:rPr>
    </w:lvl>
  </w:abstractNum>
  <w:abstractNum w:abstractNumId="9" w15:restartNumberingAfterBreak="0">
    <w:nsid w:val="64266053"/>
    <w:multiLevelType w:val="hybridMultilevel"/>
    <w:tmpl w:val="154A3BAC"/>
    <w:lvl w:ilvl="0" w:tplc="006A22AC">
      <w:start w:val="1"/>
      <w:numFmt w:val="upperLetter"/>
      <w:lvlText w:val="%1."/>
      <w:lvlJc w:val="left"/>
      <w:pPr>
        <w:ind w:left="6210" w:hanging="360"/>
      </w:pPr>
    </w:lvl>
    <w:lvl w:ilvl="1" w:tplc="6FC40BF0">
      <w:start w:val="1"/>
      <w:numFmt w:val="lowerLetter"/>
      <w:lvlText w:val="%2."/>
      <w:lvlJc w:val="left"/>
      <w:pPr>
        <w:ind w:left="4500" w:hanging="360"/>
      </w:pPr>
    </w:lvl>
    <w:lvl w:ilvl="2" w:tplc="34B0AF04" w:tentative="1">
      <w:start w:val="1"/>
      <w:numFmt w:val="lowerRoman"/>
      <w:lvlText w:val="%3."/>
      <w:lvlJc w:val="right"/>
      <w:pPr>
        <w:ind w:left="5220" w:hanging="180"/>
      </w:pPr>
    </w:lvl>
    <w:lvl w:ilvl="3" w:tplc="9A42466C" w:tentative="1">
      <w:start w:val="1"/>
      <w:numFmt w:val="decimal"/>
      <w:lvlText w:val="%4."/>
      <w:lvlJc w:val="left"/>
      <w:pPr>
        <w:ind w:left="5940" w:hanging="360"/>
      </w:pPr>
    </w:lvl>
    <w:lvl w:ilvl="4" w:tplc="F62456EA" w:tentative="1">
      <w:start w:val="1"/>
      <w:numFmt w:val="lowerLetter"/>
      <w:lvlText w:val="%5."/>
      <w:lvlJc w:val="left"/>
      <w:pPr>
        <w:ind w:left="6660" w:hanging="360"/>
      </w:pPr>
    </w:lvl>
    <w:lvl w:ilvl="5" w:tplc="A740D68E" w:tentative="1">
      <w:start w:val="1"/>
      <w:numFmt w:val="lowerRoman"/>
      <w:lvlText w:val="%6."/>
      <w:lvlJc w:val="right"/>
      <w:pPr>
        <w:ind w:left="7380" w:hanging="180"/>
      </w:pPr>
    </w:lvl>
    <w:lvl w:ilvl="6" w:tplc="8048B19A" w:tentative="1">
      <w:start w:val="1"/>
      <w:numFmt w:val="decimal"/>
      <w:lvlText w:val="%7."/>
      <w:lvlJc w:val="left"/>
      <w:pPr>
        <w:ind w:left="8100" w:hanging="360"/>
      </w:pPr>
    </w:lvl>
    <w:lvl w:ilvl="7" w:tplc="E4D8ED00" w:tentative="1">
      <w:start w:val="1"/>
      <w:numFmt w:val="lowerLetter"/>
      <w:lvlText w:val="%8."/>
      <w:lvlJc w:val="left"/>
      <w:pPr>
        <w:ind w:left="8820" w:hanging="360"/>
      </w:pPr>
    </w:lvl>
    <w:lvl w:ilvl="8" w:tplc="9F727E72" w:tentative="1">
      <w:start w:val="1"/>
      <w:numFmt w:val="lowerRoman"/>
      <w:lvlText w:val="%9."/>
      <w:lvlJc w:val="right"/>
      <w:pPr>
        <w:ind w:left="9540" w:hanging="180"/>
      </w:pPr>
    </w:lvl>
  </w:abstractNum>
  <w:abstractNum w:abstractNumId="10" w15:restartNumberingAfterBreak="0">
    <w:nsid w:val="6DAB0CD6"/>
    <w:multiLevelType w:val="hybridMultilevel"/>
    <w:tmpl w:val="22FED9AA"/>
    <w:lvl w:ilvl="0" w:tplc="5B3EE9C2">
      <w:start w:val="1"/>
      <w:numFmt w:val="decimal"/>
      <w:lvlText w:val="%1."/>
      <w:lvlJc w:val="left"/>
      <w:pPr>
        <w:ind w:left="1800" w:hanging="360"/>
      </w:pPr>
      <w:rPr>
        <w:rFonts w:hint="default"/>
        <w:i w:val="0"/>
        <w:iCs/>
      </w:rPr>
    </w:lvl>
    <w:lvl w:ilvl="1" w:tplc="542A51DA" w:tentative="1">
      <w:start w:val="1"/>
      <w:numFmt w:val="lowerLetter"/>
      <w:lvlText w:val="%2."/>
      <w:lvlJc w:val="left"/>
      <w:pPr>
        <w:ind w:left="2520" w:hanging="360"/>
      </w:pPr>
    </w:lvl>
    <w:lvl w:ilvl="2" w:tplc="98F43576" w:tentative="1">
      <w:start w:val="1"/>
      <w:numFmt w:val="lowerRoman"/>
      <w:lvlText w:val="%3."/>
      <w:lvlJc w:val="right"/>
      <w:pPr>
        <w:ind w:left="3240" w:hanging="180"/>
      </w:pPr>
    </w:lvl>
    <w:lvl w:ilvl="3" w:tplc="445271F0" w:tentative="1">
      <w:start w:val="1"/>
      <w:numFmt w:val="decimal"/>
      <w:lvlText w:val="%4."/>
      <w:lvlJc w:val="left"/>
      <w:pPr>
        <w:ind w:left="3960" w:hanging="360"/>
      </w:pPr>
    </w:lvl>
    <w:lvl w:ilvl="4" w:tplc="8EB09452" w:tentative="1">
      <w:start w:val="1"/>
      <w:numFmt w:val="lowerLetter"/>
      <w:lvlText w:val="%5."/>
      <w:lvlJc w:val="left"/>
      <w:pPr>
        <w:ind w:left="4680" w:hanging="360"/>
      </w:pPr>
    </w:lvl>
    <w:lvl w:ilvl="5" w:tplc="B43E1E28" w:tentative="1">
      <w:start w:val="1"/>
      <w:numFmt w:val="lowerRoman"/>
      <w:lvlText w:val="%6."/>
      <w:lvlJc w:val="right"/>
      <w:pPr>
        <w:ind w:left="5400" w:hanging="180"/>
      </w:pPr>
    </w:lvl>
    <w:lvl w:ilvl="6" w:tplc="4CE0C39A" w:tentative="1">
      <w:start w:val="1"/>
      <w:numFmt w:val="decimal"/>
      <w:lvlText w:val="%7."/>
      <w:lvlJc w:val="left"/>
      <w:pPr>
        <w:ind w:left="6120" w:hanging="360"/>
      </w:pPr>
    </w:lvl>
    <w:lvl w:ilvl="7" w:tplc="7D128338" w:tentative="1">
      <w:start w:val="1"/>
      <w:numFmt w:val="lowerLetter"/>
      <w:lvlText w:val="%8."/>
      <w:lvlJc w:val="left"/>
      <w:pPr>
        <w:ind w:left="6840" w:hanging="360"/>
      </w:pPr>
    </w:lvl>
    <w:lvl w:ilvl="8" w:tplc="9AD2194C" w:tentative="1">
      <w:start w:val="1"/>
      <w:numFmt w:val="lowerRoman"/>
      <w:lvlText w:val="%9."/>
      <w:lvlJc w:val="right"/>
      <w:pPr>
        <w:ind w:left="7560" w:hanging="180"/>
      </w:pPr>
    </w:lvl>
  </w:abstractNum>
  <w:abstractNum w:abstractNumId="11" w15:restartNumberingAfterBreak="0">
    <w:nsid w:val="6FE56E6F"/>
    <w:multiLevelType w:val="hybridMultilevel"/>
    <w:tmpl w:val="3FD8A0C8"/>
    <w:lvl w:ilvl="0" w:tplc="09125BDA">
      <w:start w:val="1"/>
      <w:numFmt w:val="upperLetter"/>
      <w:lvlText w:val="%1."/>
      <w:lvlJc w:val="left"/>
      <w:pPr>
        <w:ind w:left="1080" w:hanging="360"/>
      </w:pPr>
      <w:rPr>
        <w:rFonts w:hint="default"/>
      </w:rPr>
    </w:lvl>
    <w:lvl w:ilvl="1" w:tplc="21C2616A" w:tentative="1">
      <w:start w:val="1"/>
      <w:numFmt w:val="lowerLetter"/>
      <w:lvlText w:val="%2."/>
      <w:lvlJc w:val="left"/>
      <w:pPr>
        <w:ind w:left="2160" w:hanging="360"/>
      </w:pPr>
    </w:lvl>
    <w:lvl w:ilvl="2" w:tplc="9F46CBA2" w:tentative="1">
      <w:start w:val="1"/>
      <w:numFmt w:val="lowerRoman"/>
      <w:lvlText w:val="%3."/>
      <w:lvlJc w:val="right"/>
      <w:pPr>
        <w:ind w:left="2880" w:hanging="180"/>
      </w:pPr>
    </w:lvl>
    <w:lvl w:ilvl="3" w:tplc="9ECEB440" w:tentative="1">
      <w:start w:val="1"/>
      <w:numFmt w:val="decimal"/>
      <w:lvlText w:val="%4."/>
      <w:lvlJc w:val="left"/>
      <w:pPr>
        <w:ind w:left="3600" w:hanging="360"/>
      </w:pPr>
    </w:lvl>
    <w:lvl w:ilvl="4" w:tplc="824401EC" w:tentative="1">
      <w:start w:val="1"/>
      <w:numFmt w:val="lowerLetter"/>
      <w:lvlText w:val="%5."/>
      <w:lvlJc w:val="left"/>
      <w:pPr>
        <w:ind w:left="4320" w:hanging="360"/>
      </w:pPr>
    </w:lvl>
    <w:lvl w:ilvl="5" w:tplc="2DCC4900" w:tentative="1">
      <w:start w:val="1"/>
      <w:numFmt w:val="lowerRoman"/>
      <w:lvlText w:val="%6."/>
      <w:lvlJc w:val="right"/>
      <w:pPr>
        <w:ind w:left="5040" w:hanging="180"/>
      </w:pPr>
    </w:lvl>
    <w:lvl w:ilvl="6" w:tplc="09D6A15C" w:tentative="1">
      <w:start w:val="1"/>
      <w:numFmt w:val="decimal"/>
      <w:lvlText w:val="%7."/>
      <w:lvlJc w:val="left"/>
      <w:pPr>
        <w:ind w:left="5760" w:hanging="360"/>
      </w:pPr>
    </w:lvl>
    <w:lvl w:ilvl="7" w:tplc="C0423ECC" w:tentative="1">
      <w:start w:val="1"/>
      <w:numFmt w:val="lowerLetter"/>
      <w:lvlText w:val="%8."/>
      <w:lvlJc w:val="left"/>
      <w:pPr>
        <w:ind w:left="6480" w:hanging="360"/>
      </w:pPr>
    </w:lvl>
    <w:lvl w:ilvl="8" w:tplc="76E6B526" w:tentative="1">
      <w:start w:val="1"/>
      <w:numFmt w:val="lowerRoman"/>
      <w:lvlText w:val="%9."/>
      <w:lvlJc w:val="right"/>
      <w:pPr>
        <w:ind w:left="7200" w:hanging="180"/>
      </w:pPr>
    </w:lvl>
  </w:abstractNum>
  <w:abstractNum w:abstractNumId="12" w15:restartNumberingAfterBreak="0">
    <w:nsid w:val="745C383D"/>
    <w:multiLevelType w:val="hybridMultilevel"/>
    <w:tmpl w:val="7FE6380C"/>
    <w:lvl w:ilvl="0" w:tplc="DE8ADE00">
      <w:start w:val="1"/>
      <w:numFmt w:val="lowerRoman"/>
      <w:lvlText w:val="%1."/>
      <w:lvlJc w:val="right"/>
      <w:pPr>
        <w:ind w:left="2520" w:hanging="360"/>
      </w:pPr>
    </w:lvl>
    <w:lvl w:ilvl="1" w:tplc="6570E1CC" w:tentative="1">
      <w:start w:val="1"/>
      <w:numFmt w:val="lowerLetter"/>
      <w:lvlText w:val="%2."/>
      <w:lvlJc w:val="left"/>
      <w:pPr>
        <w:ind w:left="3240" w:hanging="360"/>
      </w:pPr>
    </w:lvl>
    <w:lvl w:ilvl="2" w:tplc="CF5A3A1A" w:tentative="1">
      <w:start w:val="1"/>
      <w:numFmt w:val="lowerRoman"/>
      <w:lvlText w:val="%3."/>
      <w:lvlJc w:val="right"/>
      <w:pPr>
        <w:ind w:left="3960" w:hanging="180"/>
      </w:pPr>
    </w:lvl>
    <w:lvl w:ilvl="3" w:tplc="72441220" w:tentative="1">
      <w:start w:val="1"/>
      <w:numFmt w:val="decimal"/>
      <w:lvlText w:val="%4."/>
      <w:lvlJc w:val="left"/>
      <w:pPr>
        <w:ind w:left="4680" w:hanging="360"/>
      </w:pPr>
    </w:lvl>
    <w:lvl w:ilvl="4" w:tplc="D1CE8762" w:tentative="1">
      <w:start w:val="1"/>
      <w:numFmt w:val="lowerLetter"/>
      <w:lvlText w:val="%5."/>
      <w:lvlJc w:val="left"/>
      <w:pPr>
        <w:ind w:left="5400" w:hanging="360"/>
      </w:pPr>
    </w:lvl>
    <w:lvl w:ilvl="5" w:tplc="2EAE4B76" w:tentative="1">
      <w:start w:val="1"/>
      <w:numFmt w:val="lowerRoman"/>
      <w:lvlText w:val="%6."/>
      <w:lvlJc w:val="right"/>
      <w:pPr>
        <w:ind w:left="6120" w:hanging="180"/>
      </w:pPr>
    </w:lvl>
    <w:lvl w:ilvl="6" w:tplc="59FA1E6C" w:tentative="1">
      <w:start w:val="1"/>
      <w:numFmt w:val="decimal"/>
      <w:lvlText w:val="%7."/>
      <w:lvlJc w:val="left"/>
      <w:pPr>
        <w:ind w:left="6840" w:hanging="360"/>
      </w:pPr>
    </w:lvl>
    <w:lvl w:ilvl="7" w:tplc="9B326D8C" w:tentative="1">
      <w:start w:val="1"/>
      <w:numFmt w:val="lowerLetter"/>
      <w:lvlText w:val="%8."/>
      <w:lvlJc w:val="left"/>
      <w:pPr>
        <w:ind w:left="7560" w:hanging="360"/>
      </w:pPr>
    </w:lvl>
    <w:lvl w:ilvl="8" w:tplc="016AA966" w:tentative="1">
      <w:start w:val="1"/>
      <w:numFmt w:val="lowerRoman"/>
      <w:lvlText w:val="%9."/>
      <w:lvlJc w:val="right"/>
      <w:pPr>
        <w:ind w:left="8280" w:hanging="180"/>
      </w:pPr>
    </w:lvl>
  </w:abstractNum>
  <w:abstractNum w:abstractNumId="13" w15:restartNumberingAfterBreak="0">
    <w:nsid w:val="77EB36EB"/>
    <w:multiLevelType w:val="hybridMultilevel"/>
    <w:tmpl w:val="C77C5390"/>
    <w:lvl w:ilvl="0" w:tplc="4558B658">
      <w:start w:val="1"/>
      <w:numFmt w:val="upperLetter"/>
      <w:lvlText w:val="%1."/>
      <w:lvlJc w:val="left"/>
      <w:pPr>
        <w:ind w:left="1080" w:hanging="360"/>
      </w:pPr>
      <w:rPr>
        <w:rFonts w:hint="default"/>
        <w:b/>
        <w:bCs w:val="0"/>
      </w:rPr>
    </w:lvl>
    <w:lvl w:ilvl="1" w:tplc="C5388D56" w:tentative="1">
      <w:start w:val="1"/>
      <w:numFmt w:val="lowerLetter"/>
      <w:lvlText w:val="%2."/>
      <w:lvlJc w:val="left"/>
      <w:pPr>
        <w:ind w:left="1800" w:hanging="360"/>
      </w:pPr>
    </w:lvl>
    <w:lvl w:ilvl="2" w:tplc="9C0CF9E8" w:tentative="1">
      <w:start w:val="1"/>
      <w:numFmt w:val="lowerRoman"/>
      <w:lvlText w:val="%3."/>
      <w:lvlJc w:val="right"/>
      <w:pPr>
        <w:ind w:left="2520" w:hanging="180"/>
      </w:pPr>
    </w:lvl>
    <w:lvl w:ilvl="3" w:tplc="CF569A66" w:tentative="1">
      <w:start w:val="1"/>
      <w:numFmt w:val="decimal"/>
      <w:lvlText w:val="%4."/>
      <w:lvlJc w:val="left"/>
      <w:pPr>
        <w:ind w:left="3240" w:hanging="360"/>
      </w:pPr>
    </w:lvl>
    <w:lvl w:ilvl="4" w:tplc="D5800D6E" w:tentative="1">
      <w:start w:val="1"/>
      <w:numFmt w:val="lowerLetter"/>
      <w:lvlText w:val="%5."/>
      <w:lvlJc w:val="left"/>
      <w:pPr>
        <w:ind w:left="3960" w:hanging="360"/>
      </w:pPr>
    </w:lvl>
    <w:lvl w:ilvl="5" w:tplc="B308B856" w:tentative="1">
      <w:start w:val="1"/>
      <w:numFmt w:val="lowerRoman"/>
      <w:lvlText w:val="%6."/>
      <w:lvlJc w:val="right"/>
      <w:pPr>
        <w:ind w:left="4680" w:hanging="180"/>
      </w:pPr>
    </w:lvl>
    <w:lvl w:ilvl="6" w:tplc="63CAD430" w:tentative="1">
      <w:start w:val="1"/>
      <w:numFmt w:val="decimal"/>
      <w:lvlText w:val="%7."/>
      <w:lvlJc w:val="left"/>
      <w:pPr>
        <w:ind w:left="5400" w:hanging="360"/>
      </w:pPr>
    </w:lvl>
    <w:lvl w:ilvl="7" w:tplc="D996D932" w:tentative="1">
      <w:start w:val="1"/>
      <w:numFmt w:val="lowerLetter"/>
      <w:lvlText w:val="%8."/>
      <w:lvlJc w:val="left"/>
      <w:pPr>
        <w:ind w:left="6120" w:hanging="360"/>
      </w:pPr>
    </w:lvl>
    <w:lvl w:ilvl="8" w:tplc="E82A444A" w:tentative="1">
      <w:start w:val="1"/>
      <w:numFmt w:val="lowerRoman"/>
      <w:lvlText w:val="%9."/>
      <w:lvlJc w:val="right"/>
      <w:pPr>
        <w:ind w:left="6840" w:hanging="180"/>
      </w:pPr>
    </w:lvl>
  </w:abstractNum>
  <w:num w:numId="1">
    <w:abstractNumId w:val="6"/>
  </w:num>
  <w:num w:numId="2">
    <w:abstractNumId w:val="5"/>
  </w:num>
  <w:num w:numId="3">
    <w:abstractNumId w:val="10"/>
  </w:num>
  <w:num w:numId="4">
    <w:abstractNumId w:val="2"/>
  </w:num>
  <w:num w:numId="5">
    <w:abstractNumId w:val="7"/>
  </w:num>
  <w:num w:numId="6">
    <w:abstractNumId w:val="12"/>
  </w:num>
  <w:num w:numId="7">
    <w:abstractNumId w:val="1"/>
  </w:num>
  <w:num w:numId="8">
    <w:abstractNumId w:val="11"/>
  </w:num>
  <w:num w:numId="9">
    <w:abstractNumId w:val="0"/>
  </w:num>
  <w:num w:numId="10">
    <w:abstractNumId w:val="8"/>
  </w:num>
  <w:num w:numId="11">
    <w:abstractNumId w:val="9"/>
  </w:num>
  <w:num w:numId="12">
    <w:abstractNumId w:val="3"/>
  </w:num>
  <w:num w:numId="13">
    <w:abstractNumId w:val="13"/>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MrewMDI3sTCwMDRW0lEKTi0uzszPAykwqgUAK/l8mSwAAAA="/>
  </w:docVars>
  <w:rsids>
    <w:rsidRoot w:val="002508B4"/>
    <w:rsid w:val="000039DB"/>
    <w:rsid w:val="00006A94"/>
    <w:rsid w:val="00015AD9"/>
    <w:rsid w:val="00017F44"/>
    <w:rsid w:val="00025D8F"/>
    <w:rsid w:val="000304BB"/>
    <w:rsid w:val="00032C46"/>
    <w:rsid w:val="000372D2"/>
    <w:rsid w:val="00037DBF"/>
    <w:rsid w:val="00042509"/>
    <w:rsid w:val="000539FF"/>
    <w:rsid w:val="00054C12"/>
    <w:rsid w:val="00054D64"/>
    <w:rsid w:val="00057BB1"/>
    <w:rsid w:val="00057E4D"/>
    <w:rsid w:val="000621CF"/>
    <w:rsid w:val="000630B8"/>
    <w:rsid w:val="00063FB4"/>
    <w:rsid w:val="00071821"/>
    <w:rsid w:val="00076D76"/>
    <w:rsid w:val="0008190A"/>
    <w:rsid w:val="00081C60"/>
    <w:rsid w:val="00082AFC"/>
    <w:rsid w:val="00083BD8"/>
    <w:rsid w:val="00085F62"/>
    <w:rsid w:val="0008612E"/>
    <w:rsid w:val="0008644D"/>
    <w:rsid w:val="00091762"/>
    <w:rsid w:val="00094062"/>
    <w:rsid w:val="00097BDB"/>
    <w:rsid w:val="00097C1E"/>
    <w:rsid w:val="000A1A88"/>
    <w:rsid w:val="000A1D16"/>
    <w:rsid w:val="000B173B"/>
    <w:rsid w:val="000B5DF1"/>
    <w:rsid w:val="000C12C9"/>
    <w:rsid w:val="000C1642"/>
    <w:rsid w:val="000C28A3"/>
    <w:rsid w:val="000C36E8"/>
    <w:rsid w:val="000C4B28"/>
    <w:rsid w:val="000C53C4"/>
    <w:rsid w:val="000D1F6D"/>
    <w:rsid w:val="000D7ABF"/>
    <w:rsid w:val="000E18D6"/>
    <w:rsid w:val="000E2A19"/>
    <w:rsid w:val="000E6629"/>
    <w:rsid w:val="000F6801"/>
    <w:rsid w:val="00102EA8"/>
    <w:rsid w:val="00103778"/>
    <w:rsid w:val="00106F1D"/>
    <w:rsid w:val="00107B83"/>
    <w:rsid w:val="00113CDD"/>
    <w:rsid w:val="001157F8"/>
    <w:rsid w:val="0011621C"/>
    <w:rsid w:val="00116380"/>
    <w:rsid w:val="00125C7D"/>
    <w:rsid w:val="00126328"/>
    <w:rsid w:val="00126496"/>
    <w:rsid w:val="0013203A"/>
    <w:rsid w:val="00136374"/>
    <w:rsid w:val="0014028E"/>
    <w:rsid w:val="00141A4D"/>
    <w:rsid w:val="00152672"/>
    <w:rsid w:val="00155FCE"/>
    <w:rsid w:val="00156303"/>
    <w:rsid w:val="0016499A"/>
    <w:rsid w:val="00165A39"/>
    <w:rsid w:val="00166361"/>
    <w:rsid w:val="00170D2F"/>
    <w:rsid w:val="0017537A"/>
    <w:rsid w:val="001761F5"/>
    <w:rsid w:val="00177F36"/>
    <w:rsid w:val="0018046C"/>
    <w:rsid w:val="00181512"/>
    <w:rsid w:val="0018399F"/>
    <w:rsid w:val="0019088D"/>
    <w:rsid w:val="001913FA"/>
    <w:rsid w:val="00194D90"/>
    <w:rsid w:val="00195B93"/>
    <w:rsid w:val="00196589"/>
    <w:rsid w:val="001974D4"/>
    <w:rsid w:val="001979A2"/>
    <w:rsid w:val="001A03B5"/>
    <w:rsid w:val="001A20BB"/>
    <w:rsid w:val="001B16E3"/>
    <w:rsid w:val="001B2550"/>
    <w:rsid w:val="001B35E3"/>
    <w:rsid w:val="001C00E4"/>
    <w:rsid w:val="001C0C88"/>
    <w:rsid w:val="001C6406"/>
    <w:rsid w:val="001D0AB0"/>
    <w:rsid w:val="001D1E1F"/>
    <w:rsid w:val="001D3A86"/>
    <w:rsid w:val="001D4DCD"/>
    <w:rsid w:val="001E0E3F"/>
    <w:rsid w:val="001E60C0"/>
    <w:rsid w:val="001F4BB3"/>
    <w:rsid w:val="00207D41"/>
    <w:rsid w:val="0021015C"/>
    <w:rsid w:val="00213CD8"/>
    <w:rsid w:val="0021646D"/>
    <w:rsid w:val="00221937"/>
    <w:rsid w:val="002306C1"/>
    <w:rsid w:val="00232265"/>
    <w:rsid w:val="002349B4"/>
    <w:rsid w:val="00245577"/>
    <w:rsid w:val="00250056"/>
    <w:rsid w:val="002508B4"/>
    <w:rsid w:val="002513BA"/>
    <w:rsid w:val="00252744"/>
    <w:rsid w:val="0025313D"/>
    <w:rsid w:val="00254726"/>
    <w:rsid w:val="00257AB0"/>
    <w:rsid w:val="002641C1"/>
    <w:rsid w:val="00265179"/>
    <w:rsid w:val="00267490"/>
    <w:rsid w:val="00267898"/>
    <w:rsid w:val="00267A0F"/>
    <w:rsid w:val="00276F03"/>
    <w:rsid w:val="00281EE3"/>
    <w:rsid w:val="0029590E"/>
    <w:rsid w:val="00297D1E"/>
    <w:rsid w:val="002A07FF"/>
    <w:rsid w:val="002A141F"/>
    <w:rsid w:val="002A43BA"/>
    <w:rsid w:val="002A44D7"/>
    <w:rsid w:val="002A5BB5"/>
    <w:rsid w:val="002A60C8"/>
    <w:rsid w:val="002A763A"/>
    <w:rsid w:val="002A7D0A"/>
    <w:rsid w:val="002B09CE"/>
    <w:rsid w:val="002B16F3"/>
    <w:rsid w:val="002B1E82"/>
    <w:rsid w:val="002B1F29"/>
    <w:rsid w:val="002B3672"/>
    <w:rsid w:val="002B7E1F"/>
    <w:rsid w:val="002C345B"/>
    <w:rsid w:val="002C3EAA"/>
    <w:rsid w:val="002C412D"/>
    <w:rsid w:val="002C45C8"/>
    <w:rsid w:val="002D3CFD"/>
    <w:rsid w:val="002D51DB"/>
    <w:rsid w:val="002E20D7"/>
    <w:rsid w:val="002E3488"/>
    <w:rsid w:val="002F2434"/>
    <w:rsid w:val="002F28DB"/>
    <w:rsid w:val="002F7E47"/>
    <w:rsid w:val="003000F0"/>
    <w:rsid w:val="003005D8"/>
    <w:rsid w:val="00302631"/>
    <w:rsid w:val="003029D0"/>
    <w:rsid w:val="00310F5A"/>
    <w:rsid w:val="00311FF1"/>
    <w:rsid w:val="00321678"/>
    <w:rsid w:val="003219FE"/>
    <w:rsid w:val="00321F15"/>
    <w:rsid w:val="003246F4"/>
    <w:rsid w:val="003309AD"/>
    <w:rsid w:val="00332457"/>
    <w:rsid w:val="003330F7"/>
    <w:rsid w:val="00333276"/>
    <w:rsid w:val="00336C8A"/>
    <w:rsid w:val="0035189A"/>
    <w:rsid w:val="00351931"/>
    <w:rsid w:val="00365A97"/>
    <w:rsid w:val="003721B0"/>
    <w:rsid w:val="00372F8A"/>
    <w:rsid w:val="0037577B"/>
    <w:rsid w:val="00375F36"/>
    <w:rsid w:val="00376B53"/>
    <w:rsid w:val="003840A7"/>
    <w:rsid w:val="0038527E"/>
    <w:rsid w:val="00387EB8"/>
    <w:rsid w:val="00394958"/>
    <w:rsid w:val="003959D3"/>
    <w:rsid w:val="003970A4"/>
    <w:rsid w:val="00397CC9"/>
    <w:rsid w:val="003A6E00"/>
    <w:rsid w:val="003B1178"/>
    <w:rsid w:val="003B267C"/>
    <w:rsid w:val="003B3C09"/>
    <w:rsid w:val="003C6C1F"/>
    <w:rsid w:val="003D5809"/>
    <w:rsid w:val="003E0189"/>
    <w:rsid w:val="003E119B"/>
    <w:rsid w:val="003E54C5"/>
    <w:rsid w:val="003F0178"/>
    <w:rsid w:val="003F1DF8"/>
    <w:rsid w:val="00401789"/>
    <w:rsid w:val="004017D1"/>
    <w:rsid w:val="00401CB4"/>
    <w:rsid w:val="00413F2A"/>
    <w:rsid w:val="00416BEB"/>
    <w:rsid w:val="00422297"/>
    <w:rsid w:val="004230F6"/>
    <w:rsid w:val="00427555"/>
    <w:rsid w:val="00427662"/>
    <w:rsid w:val="004278A4"/>
    <w:rsid w:val="00431A2B"/>
    <w:rsid w:val="00431EBA"/>
    <w:rsid w:val="004323E2"/>
    <w:rsid w:val="004410B3"/>
    <w:rsid w:val="00441A0A"/>
    <w:rsid w:val="004462BD"/>
    <w:rsid w:val="00453B94"/>
    <w:rsid w:val="0046170E"/>
    <w:rsid w:val="004617C9"/>
    <w:rsid w:val="004625F2"/>
    <w:rsid w:val="0046386C"/>
    <w:rsid w:val="00464C4C"/>
    <w:rsid w:val="00465FA0"/>
    <w:rsid w:val="00466CFB"/>
    <w:rsid w:val="004706EF"/>
    <w:rsid w:val="00475AB0"/>
    <w:rsid w:val="00477FE9"/>
    <w:rsid w:val="00480F20"/>
    <w:rsid w:val="00494C39"/>
    <w:rsid w:val="00495F1B"/>
    <w:rsid w:val="00497D87"/>
    <w:rsid w:val="004A735B"/>
    <w:rsid w:val="004B478D"/>
    <w:rsid w:val="004B7296"/>
    <w:rsid w:val="004C3CFD"/>
    <w:rsid w:val="004C4A3B"/>
    <w:rsid w:val="004C5C92"/>
    <w:rsid w:val="004C68FF"/>
    <w:rsid w:val="004D037C"/>
    <w:rsid w:val="004D0537"/>
    <w:rsid w:val="004D1513"/>
    <w:rsid w:val="004D5D5A"/>
    <w:rsid w:val="004E098A"/>
    <w:rsid w:val="004E1F8F"/>
    <w:rsid w:val="004E2E51"/>
    <w:rsid w:val="004E32AB"/>
    <w:rsid w:val="004E3AE3"/>
    <w:rsid w:val="004F4991"/>
    <w:rsid w:val="004F64CF"/>
    <w:rsid w:val="00500F8C"/>
    <w:rsid w:val="0050224D"/>
    <w:rsid w:val="00504D26"/>
    <w:rsid w:val="005119FB"/>
    <w:rsid w:val="00515816"/>
    <w:rsid w:val="00516E15"/>
    <w:rsid w:val="0052017E"/>
    <w:rsid w:val="005227A8"/>
    <w:rsid w:val="0052621C"/>
    <w:rsid w:val="00533C1B"/>
    <w:rsid w:val="00535CB3"/>
    <w:rsid w:val="0054386F"/>
    <w:rsid w:val="005441AA"/>
    <w:rsid w:val="00545CD1"/>
    <w:rsid w:val="005526D9"/>
    <w:rsid w:val="00556D90"/>
    <w:rsid w:val="00557E90"/>
    <w:rsid w:val="005618ED"/>
    <w:rsid w:val="00561992"/>
    <w:rsid w:val="00563477"/>
    <w:rsid w:val="005642A2"/>
    <w:rsid w:val="00564599"/>
    <w:rsid w:val="00564C42"/>
    <w:rsid w:val="00565B8F"/>
    <w:rsid w:val="005673BF"/>
    <w:rsid w:val="00570C83"/>
    <w:rsid w:val="005716B1"/>
    <w:rsid w:val="005773C2"/>
    <w:rsid w:val="005816DA"/>
    <w:rsid w:val="00581C6C"/>
    <w:rsid w:val="00581D0C"/>
    <w:rsid w:val="005832F6"/>
    <w:rsid w:val="005844F8"/>
    <w:rsid w:val="00591BAE"/>
    <w:rsid w:val="00592A75"/>
    <w:rsid w:val="00593C46"/>
    <w:rsid w:val="005966C8"/>
    <w:rsid w:val="005A4E80"/>
    <w:rsid w:val="005B339F"/>
    <w:rsid w:val="005B7784"/>
    <w:rsid w:val="005C2501"/>
    <w:rsid w:val="005C3D6F"/>
    <w:rsid w:val="005C5375"/>
    <w:rsid w:val="005C6855"/>
    <w:rsid w:val="005D1B60"/>
    <w:rsid w:val="005E11F1"/>
    <w:rsid w:val="005E3239"/>
    <w:rsid w:val="005E34A8"/>
    <w:rsid w:val="005E6D44"/>
    <w:rsid w:val="005F0C46"/>
    <w:rsid w:val="005F38EB"/>
    <w:rsid w:val="005F3DC9"/>
    <w:rsid w:val="005F5A9C"/>
    <w:rsid w:val="00601E26"/>
    <w:rsid w:val="00603B11"/>
    <w:rsid w:val="00610DDE"/>
    <w:rsid w:val="0061728C"/>
    <w:rsid w:val="006178A8"/>
    <w:rsid w:val="00620A13"/>
    <w:rsid w:val="00621ACA"/>
    <w:rsid w:val="00622E1B"/>
    <w:rsid w:val="00623A46"/>
    <w:rsid w:val="006271A3"/>
    <w:rsid w:val="0063247E"/>
    <w:rsid w:val="0063353B"/>
    <w:rsid w:val="00642AF5"/>
    <w:rsid w:val="00643A43"/>
    <w:rsid w:val="00643CE4"/>
    <w:rsid w:val="00643ED4"/>
    <w:rsid w:val="00650DE6"/>
    <w:rsid w:val="00650F49"/>
    <w:rsid w:val="00652F50"/>
    <w:rsid w:val="00654AF9"/>
    <w:rsid w:val="00654C13"/>
    <w:rsid w:val="00660648"/>
    <w:rsid w:val="00660DBB"/>
    <w:rsid w:val="00661819"/>
    <w:rsid w:val="00661834"/>
    <w:rsid w:val="00663FD9"/>
    <w:rsid w:val="00664644"/>
    <w:rsid w:val="006654CE"/>
    <w:rsid w:val="006679C0"/>
    <w:rsid w:val="006709B1"/>
    <w:rsid w:val="00670FF2"/>
    <w:rsid w:val="006808A1"/>
    <w:rsid w:val="006814D5"/>
    <w:rsid w:val="006834C2"/>
    <w:rsid w:val="00684DA9"/>
    <w:rsid w:val="006861ED"/>
    <w:rsid w:val="006943EA"/>
    <w:rsid w:val="00696BD6"/>
    <w:rsid w:val="006A0878"/>
    <w:rsid w:val="006A285C"/>
    <w:rsid w:val="006B1334"/>
    <w:rsid w:val="006B3047"/>
    <w:rsid w:val="006B32D2"/>
    <w:rsid w:val="006C1636"/>
    <w:rsid w:val="006C6152"/>
    <w:rsid w:val="006C7FEE"/>
    <w:rsid w:val="006D4E3F"/>
    <w:rsid w:val="006D65BC"/>
    <w:rsid w:val="006E3245"/>
    <w:rsid w:val="006E3CBE"/>
    <w:rsid w:val="006E7ED2"/>
    <w:rsid w:val="006F1DFD"/>
    <w:rsid w:val="007027A4"/>
    <w:rsid w:val="00706799"/>
    <w:rsid w:val="0070699F"/>
    <w:rsid w:val="00712F08"/>
    <w:rsid w:val="007146E4"/>
    <w:rsid w:val="00715859"/>
    <w:rsid w:val="007210E6"/>
    <w:rsid w:val="00727B53"/>
    <w:rsid w:val="007320EF"/>
    <w:rsid w:val="0073213A"/>
    <w:rsid w:val="00732F8E"/>
    <w:rsid w:val="00734921"/>
    <w:rsid w:val="00734BD3"/>
    <w:rsid w:val="00741FEC"/>
    <w:rsid w:val="00742148"/>
    <w:rsid w:val="00745137"/>
    <w:rsid w:val="007500BC"/>
    <w:rsid w:val="007513E5"/>
    <w:rsid w:val="007636DD"/>
    <w:rsid w:val="00764DAC"/>
    <w:rsid w:val="00765480"/>
    <w:rsid w:val="00765E4C"/>
    <w:rsid w:val="007711EC"/>
    <w:rsid w:val="00781A68"/>
    <w:rsid w:val="0078545E"/>
    <w:rsid w:val="0078564A"/>
    <w:rsid w:val="00790C6F"/>
    <w:rsid w:val="007916A2"/>
    <w:rsid w:val="00793948"/>
    <w:rsid w:val="00795E91"/>
    <w:rsid w:val="007961EA"/>
    <w:rsid w:val="00796459"/>
    <w:rsid w:val="00797BF2"/>
    <w:rsid w:val="007A2CD9"/>
    <w:rsid w:val="007B110B"/>
    <w:rsid w:val="007C11F1"/>
    <w:rsid w:val="007D4D3F"/>
    <w:rsid w:val="007D6710"/>
    <w:rsid w:val="007D6DAE"/>
    <w:rsid w:val="007E1B4E"/>
    <w:rsid w:val="007F1984"/>
    <w:rsid w:val="007F1EB4"/>
    <w:rsid w:val="007F270C"/>
    <w:rsid w:val="007F2C3D"/>
    <w:rsid w:val="007F30C8"/>
    <w:rsid w:val="007F54A2"/>
    <w:rsid w:val="008067EB"/>
    <w:rsid w:val="00812393"/>
    <w:rsid w:val="00816FC9"/>
    <w:rsid w:val="008173F4"/>
    <w:rsid w:val="00817FA1"/>
    <w:rsid w:val="008231F1"/>
    <w:rsid w:val="008273B6"/>
    <w:rsid w:val="00827CA9"/>
    <w:rsid w:val="0083172F"/>
    <w:rsid w:val="00835357"/>
    <w:rsid w:val="00840729"/>
    <w:rsid w:val="00841199"/>
    <w:rsid w:val="00841E72"/>
    <w:rsid w:val="008454C9"/>
    <w:rsid w:val="00847733"/>
    <w:rsid w:val="00847CB4"/>
    <w:rsid w:val="00850AA8"/>
    <w:rsid w:val="008514A6"/>
    <w:rsid w:val="00852179"/>
    <w:rsid w:val="0085435A"/>
    <w:rsid w:val="00854786"/>
    <w:rsid w:val="00855D8F"/>
    <w:rsid w:val="00860362"/>
    <w:rsid w:val="00872460"/>
    <w:rsid w:val="0087577A"/>
    <w:rsid w:val="008774BB"/>
    <w:rsid w:val="00880CAE"/>
    <w:rsid w:val="00881815"/>
    <w:rsid w:val="008903A0"/>
    <w:rsid w:val="008964F3"/>
    <w:rsid w:val="008A11B3"/>
    <w:rsid w:val="008A13E9"/>
    <w:rsid w:val="008A3B83"/>
    <w:rsid w:val="008B1B2F"/>
    <w:rsid w:val="008B26D2"/>
    <w:rsid w:val="008C0A40"/>
    <w:rsid w:val="008D0150"/>
    <w:rsid w:val="008D0C1A"/>
    <w:rsid w:val="008D10BC"/>
    <w:rsid w:val="008D20AF"/>
    <w:rsid w:val="008D2414"/>
    <w:rsid w:val="008D4F65"/>
    <w:rsid w:val="008D5E93"/>
    <w:rsid w:val="008E4498"/>
    <w:rsid w:val="008E47B6"/>
    <w:rsid w:val="008F46B1"/>
    <w:rsid w:val="008F60C9"/>
    <w:rsid w:val="008F71CB"/>
    <w:rsid w:val="008F7BB3"/>
    <w:rsid w:val="008F7C94"/>
    <w:rsid w:val="00903887"/>
    <w:rsid w:val="009049CE"/>
    <w:rsid w:val="00907B29"/>
    <w:rsid w:val="00911917"/>
    <w:rsid w:val="009127A0"/>
    <w:rsid w:val="009138D7"/>
    <w:rsid w:val="00913989"/>
    <w:rsid w:val="0091629B"/>
    <w:rsid w:val="00916739"/>
    <w:rsid w:val="00920F7C"/>
    <w:rsid w:val="009300BA"/>
    <w:rsid w:val="00934A69"/>
    <w:rsid w:val="009377F3"/>
    <w:rsid w:val="00945358"/>
    <w:rsid w:val="00945396"/>
    <w:rsid w:val="00947DAA"/>
    <w:rsid w:val="009502EB"/>
    <w:rsid w:val="00953EF6"/>
    <w:rsid w:val="00953F74"/>
    <w:rsid w:val="009562C2"/>
    <w:rsid w:val="009563E7"/>
    <w:rsid w:val="00957117"/>
    <w:rsid w:val="00960793"/>
    <w:rsid w:val="00960CCD"/>
    <w:rsid w:val="00960E24"/>
    <w:rsid w:val="0096223D"/>
    <w:rsid w:val="0096257B"/>
    <w:rsid w:val="0096303E"/>
    <w:rsid w:val="00963106"/>
    <w:rsid w:val="00964953"/>
    <w:rsid w:val="00964C2F"/>
    <w:rsid w:val="00970CAA"/>
    <w:rsid w:val="009748CF"/>
    <w:rsid w:val="009767FF"/>
    <w:rsid w:val="00977FD9"/>
    <w:rsid w:val="009802CD"/>
    <w:rsid w:val="00980424"/>
    <w:rsid w:val="00983266"/>
    <w:rsid w:val="009840EB"/>
    <w:rsid w:val="00985CE1"/>
    <w:rsid w:val="00985E86"/>
    <w:rsid w:val="00985F8C"/>
    <w:rsid w:val="00995D6A"/>
    <w:rsid w:val="009A1B2E"/>
    <w:rsid w:val="009A7A39"/>
    <w:rsid w:val="009B2086"/>
    <w:rsid w:val="009B5636"/>
    <w:rsid w:val="009B6209"/>
    <w:rsid w:val="009B6360"/>
    <w:rsid w:val="009B73EB"/>
    <w:rsid w:val="009B7F92"/>
    <w:rsid w:val="009C09B0"/>
    <w:rsid w:val="009C0FB5"/>
    <w:rsid w:val="009C3D3F"/>
    <w:rsid w:val="009C4548"/>
    <w:rsid w:val="009C7962"/>
    <w:rsid w:val="009C7CAF"/>
    <w:rsid w:val="009D1C29"/>
    <w:rsid w:val="009D2481"/>
    <w:rsid w:val="009D3F30"/>
    <w:rsid w:val="009D5236"/>
    <w:rsid w:val="009E180E"/>
    <w:rsid w:val="009E276D"/>
    <w:rsid w:val="009E523E"/>
    <w:rsid w:val="009F1C88"/>
    <w:rsid w:val="009F23CB"/>
    <w:rsid w:val="00A0231C"/>
    <w:rsid w:val="00A0412C"/>
    <w:rsid w:val="00A109A2"/>
    <w:rsid w:val="00A10FE4"/>
    <w:rsid w:val="00A15BDA"/>
    <w:rsid w:val="00A243C4"/>
    <w:rsid w:val="00A31DC1"/>
    <w:rsid w:val="00A34CF4"/>
    <w:rsid w:val="00A3692F"/>
    <w:rsid w:val="00A533FE"/>
    <w:rsid w:val="00A621EE"/>
    <w:rsid w:val="00A63A68"/>
    <w:rsid w:val="00A64585"/>
    <w:rsid w:val="00A6470B"/>
    <w:rsid w:val="00A667A0"/>
    <w:rsid w:val="00A73614"/>
    <w:rsid w:val="00A75B77"/>
    <w:rsid w:val="00A762C7"/>
    <w:rsid w:val="00A80457"/>
    <w:rsid w:val="00A85BE2"/>
    <w:rsid w:val="00A928F1"/>
    <w:rsid w:val="00A939B6"/>
    <w:rsid w:val="00AA68EB"/>
    <w:rsid w:val="00AB3F04"/>
    <w:rsid w:val="00AB5159"/>
    <w:rsid w:val="00AC2F29"/>
    <w:rsid w:val="00AC3F49"/>
    <w:rsid w:val="00AC5E3C"/>
    <w:rsid w:val="00AD1CAA"/>
    <w:rsid w:val="00AD34E3"/>
    <w:rsid w:val="00AD64A2"/>
    <w:rsid w:val="00AE08F7"/>
    <w:rsid w:val="00AE6AAF"/>
    <w:rsid w:val="00AE6C5D"/>
    <w:rsid w:val="00AF0D78"/>
    <w:rsid w:val="00AF2F32"/>
    <w:rsid w:val="00AF4CE2"/>
    <w:rsid w:val="00AF61CC"/>
    <w:rsid w:val="00AF64F8"/>
    <w:rsid w:val="00B01359"/>
    <w:rsid w:val="00B0189E"/>
    <w:rsid w:val="00B01E10"/>
    <w:rsid w:val="00B026B9"/>
    <w:rsid w:val="00B039DD"/>
    <w:rsid w:val="00B0780F"/>
    <w:rsid w:val="00B11BF7"/>
    <w:rsid w:val="00B11EAE"/>
    <w:rsid w:val="00B13935"/>
    <w:rsid w:val="00B13B81"/>
    <w:rsid w:val="00B152B4"/>
    <w:rsid w:val="00B22480"/>
    <w:rsid w:val="00B313AE"/>
    <w:rsid w:val="00B403E4"/>
    <w:rsid w:val="00B40682"/>
    <w:rsid w:val="00B42781"/>
    <w:rsid w:val="00B43AA3"/>
    <w:rsid w:val="00B45F7F"/>
    <w:rsid w:val="00B46815"/>
    <w:rsid w:val="00B513CF"/>
    <w:rsid w:val="00B55CB4"/>
    <w:rsid w:val="00B63AB1"/>
    <w:rsid w:val="00B63B3B"/>
    <w:rsid w:val="00B63C64"/>
    <w:rsid w:val="00B63D80"/>
    <w:rsid w:val="00B65F2D"/>
    <w:rsid w:val="00B71ADB"/>
    <w:rsid w:val="00B73DA5"/>
    <w:rsid w:val="00B82E3D"/>
    <w:rsid w:val="00B90844"/>
    <w:rsid w:val="00B91614"/>
    <w:rsid w:val="00B925C1"/>
    <w:rsid w:val="00BA2585"/>
    <w:rsid w:val="00BA3128"/>
    <w:rsid w:val="00BA38AC"/>
    <w:rsid w:val="00BA40B8"/>
    <w:rsid w:val="00BA4987"/>
    <w:rsid w:val="00BA53E7"/>
    <w:rsid w:val="00BA7A2D"/>
    <w:rsid w:val="00BB0E42"/>
    <w:rsid w:val="00BB4A33"/>
    <w:rsid w:val="00BB55B1"/>
    <w:rsid w:val="00BC0211"/>
    <w:rsid w:val="00BC2409"/>
    <w:rsid w:val="00BC2A2D"/>
    <w:rsid w:val="00BC43A4"/>
    <w:rsid w:val="00BC4607"/>
    <w:rsid w:val="00BC4CB1"/>
    <w:rsid w:val="00BC74D8"/>
    <w:rsid w:val="00BC7E91"/>
    <w:rsid w:val="00BD0EFB"/>
    <w:rsid w:val="00BD5203"/>
    <w:rsid w:val="00BD6253"/>
    <w:rsid w:val="00BD7718"/>
    <w:rsid w:val="00BE0B37"/>
    <w:rsid w:val="00BE0D53"/>
    <w:rsid w:val="00BE6094"/>
    <w:rsid w:val="00BF0926"/>
    <w:rsid w:val="00BF0FB1"/>
    <w:rsid w:val="00C002CC"/>
    <w:rsid w:val="00C009D2"/>
    <w:rsid w:val="00C02045"/>
    <w:rsid w:val="00C04276"/>
    <w:rsid w:val="00C11152"/>
    <w:rsid w:val="00C121E1"/>
    <w:rsid w:val="00C13633"/>
    <w:rsid w:val="00C13F35"/>
    <w:rsid w:val="00C14A0A"/>
    <w:rsid w:val="00C16598"/>
    <w:rsid w:val="00C177C5"/>
    <w:rsid w:val="00C21188"/>
    <w:rsid w:val="00C24108"/>
    <w:rsid w:val="00C30081"/>
    <w:rsid w:val="00C5368A"/>
    <w:rsid w:val="00C544DD"/>
    <w:rsid w:val="00C7187B"/>
    <w:rsid w:val="00C74556"/>
    <w:rsid w:val="00C75915"/>
    <w:rsid w:val="00C80448"/>
    <w:rsid w:val="00C82D9D"/>
    <w:rsid w:val="00C84A01"/>
    <w:rsid w:val="00C86EE3"/>
    <w:rsid w:val="00C91185"/>
    <w:rsid w:val="00C91200"/>
    <w:rsid w:val="00C94094"/>
    <w:rsid w:val="00C958E5"/>
    <w:rsid w:val="00CA244E"/>
    <w:rsid w:val="00CA3784"/>
    <w:rsid w:val="00CA4211"/>
    <w:rsid w:val="00CA45FA"/>
    <w:rsid w:val="00CA5985"/>
    <w:rsid w:val="00CB2120"/>
    <w:rsid w:val="00CB2694"/>
    <w:rsid w:val="00CB6C0D"/>
    <w:rsid w:val="00CC2DCD"/>
    <w:rsid w:val="00CC487F"/>
    <w:rsid w:val="00CC6458"/>
    <w:rsid w:val="00CD1CF2"/>
    <w:rsid w:val="00CD2A3C"/>
    <w:rsid w:val="00CD2EB0"/>
    <w:rsid w:val="00CD31D4"/>
    <w:rsid w:val="00CD3B99"/>
    <w:rsid w:val="00CE17CF"/>
    <w:rsid w:val="00CE19F7"/>
    <w:rsid w:val="00CE2195"/>
    <w:rsid w:val="00CE38F3"/>
    <w:rsid w:val="00CE3FB3"/>
    <w:rsid w:val="00CE6361"/>
    <w:rsid w:val="00CF1963"/>
    <w:rsid w:val="00CF7615"/>
    <w:rsid w:val="00D00BEB"/>
    <w:rsid w:val="00D02A94"/>
    <w:rsid w:val="00D0595C"/>
    <w:rsid w:val="00D150D2"/>
    <w:rsid w:val="00D162C5"/>
    <w:rsid w:val="00D17666"/>
    <w:rsid w:val="00D215DB"/>
    <w:rsid w:val="00D26E75"/>
    <w:rsid w:val="00D31BA9"/>
    <w:rsid w:val="00D375AE"/>
    <w:rsid w:val="00D406B7"/>
    <w:rsid w:val="00D40F17"/>
    <w:rsid w:val="00D46881"/>
    <w:rsid w:val="00D50E88"/>
    <w:rsid w:val="00D567E4"/>
    <w:rsid w:val="00D64EF7"/>
    <w:rsid w:val="00D71A16"/>
    <w:rsid w:val="00D7673C"/>
    <w:rsid w:val="00D771CF"/>
    <w:rsid w:val="00D80A7C"/>
    <w:rsid w:val="00D81C6D"/>
    <w:rsid w:val="00D82471"/>
    <w:rsid w:val="00D82C9B"/>
    <w:rsid w:val="00D8418C"/>
    <w:rsid w:val="00D854D3"/>
    <w:rsid w:val="00D86DA9"/>
    <w:rsid w:val="00D86E36"/>
    <w:rsid w:val="00D91544"/>
    <w:rsid w:val="00D929C7"/>
    <w:rsid w:val="00D94729"/>
    <w:rsid w:val="00D94875"/>
    <w:rsid w:val="00DA118F"/>
    <w:rsid w:val="00DA360A"/>
    <w:rsid w:val="00DB0A34"/>
    <w:rsid w:val="00DB3840"/>
    <w:rsid w:val="00DB4C1A"/>
    <w:rsid w:val="00DB737F"/>
    <w:rsid w:val="00DC2946"/>
    <w:rsid w:val="00DC36B1"/>
    <w:rsid w:val="00DC3CBC"/>
    <w:rsid w:val="00DC4122"/>
    <w:rsid w:val="00DC48B1"/>
    <w:rsid w:val="00DC76FA"/>
    <w:rsid w:val="00DD0EA4"/>
    <w:rsid w:val="00DD21B7"/>
    <w:rsid w:val="00DD2C6C"/>
    <w:rsid w:val="00DD4D89"/>
    <w:rsid w:val="00DD53C7"/>
    <w:rsid w:val="00DD777B"/>
    <w:rsid w:val="00DE297A"/>
    <w:rsid w:val="00DE434E"/>
    <w:rsid w:val="00DF24FA"/>
    <w:rsid w:val="00DF7BCF"/>
    <w:rsid w:val="00E04008"/>
    <w:rsid w:val="00E10289"/>
    <w:rsid w:val="00E1085D"/>
    <w:rsid w:val="00E14220"/>
    <w:rsid w:val="00E148A5"/>
    <w:rsid w:val="00E16AA9"/>
    <w:rsid w:val="00E179A2"/>
    <w:rsid w:val="00E25BB3"/>
    <w:rsid w:val="00E31058"/>
    <w:rsid w:val="00E36E5F"/>
    <w:rsid w:val="00E40115"/>
    <w:rsid w:val="00E40B8D"/>
    <w:rsid w:val="00E41908"/>
    <w:rsid w:val="00E510F5"/>
    <w:rsid w:val="00E55821"/>
    <w:rsid w:val="00E62FE9"/>
    <w:rsid w:val="00E644EF"/>
    <w:rsid w:val="00E64C34"/>
    <w:rsid w:val="00E6626D"/>
    <w:rsid w:val="00E66DE6"/>
    <w:rsid w:val="00E737AD"/>
    <w:rsid w:val="00E8029C"/>
    <w:rsid w:val="00E832B2"/>
    <w:rsid w:val="00E84799"/>
    <w:rsid w:val="00E85E75"/>
    <w:rsid w:val="00E96453"/>
    <w:rsid w:val="00E965D2"/>
    <w:rsid w:val="00EA03CC"/>
    <w:rsid w:val="00EA621A"/>
    <w:rsid w:val="00EA6260"/>
    <w:rsid w:val="00EA674A"/>
    <w:rsid w:val="00EC0101"/>
    <w:rsid w:val="00EC0A0D"/>
    <w:rsid w:val="00EC1761"/>
    <w:rsid w:val="00EC44A0"/>
    <w:rsid w:val="00EC54A9"/>
    <w:rsid w:val="00EC57CB"/>
    <w:rsid w:val="00EC6BD8"/>
    <w:rsid w:val="00EC731F"/>
    <w:rsid w:val="00ED1168"/>
    <w:rsid w:val="00ED365E"/>
    <w:rsid w:val="00ED730D"/>
    <w:rsid w:val="00EE1C50"/>
    <w:rsid w:val="00EE1F87"/>
    <w:rsid w:val="00EE3DE5"/>
    <w:rsid w:val="00EF00BB"/>
    <w:rsid w:val="00EF42B2"/>
    <w:rsid w:val="00EF7ADC"/>
    <w:rsid w:val="00F00EAE"/>
    <w:rsid w:val="00F06387"/>
    <w:rsid w:val="00F06986"/>
    <w:rsid w:val="00F20DAA"/>
    <w:rsid w:val="00F23C10"/>
    <w:rsid w:val="00F247CF"/>
    <w:rsid w:val="00F268C0"/>
    <w:rsid w:val="00F32BCF"/>
    <w:rsid w:val="00F34E3D"/>
    <w:rsid w:val="00F40367"/>
    <w:rsid w:val="00F410AF"/>
    <w:rsid w:val="00F43657"/>
    <w:rsid w:val="00F436B9"/>
    <w:rsid w:val="00F43C0E"/>
    <w:rsid w:val="00F446A1"/>
    <w:rsid w:val="00F47A7C"/>
    <w:rsid w:val="00F47F7E"/>
    <w:rsid w:val="00F53519"/>
    <w:rsid w:val="00F54368"/>
    <w:rsid w:val="00F63687"/>
    <w:rsid w:val="00F6644C"/>
    <w:rsid w:val="00F66AD7"/>
    <w:rsid w:val="00F72FB4"/>
    <w:rsid w:val="00F87BE5"/>
    <w:rsid w:val="00FA2050"/>
    <w:rsid w:val="00FA7762"/>
    <w:rsid w:val="00FB4BE8"/>
    <w:rsid w:val="00FC3F43"/>
    <w:rsid w:val="00FD3174"/>
    <w:rsid w:val="00FD45C7"/>
    <w:rsid w:val="00FD4A15"/>
    <w:rsid w:val="00FE21B3"/>
    <w:rsid w:val="00FE399F"/>
    <w:rsid w:val="00FE7422"/>
    <w:rsid w:val="00FF09E1"/>
    <w:rsid w:val="042361AD"/>
    <w:rsid w:val="12BB519A"/>
    <w:rsid w:val="169F0766"/>
    <w:rsid w:val="1868EC68"/>
    <w:rsid w:val="194A2757"/>
    <w:rsid w:val="2673D5A8"/>
    <w:rsid w:val="275FDB88"/>
    <w:rsid w:val="31FCBD16"/>
    <w:rsid w:val="347DC40A"/>
    <w:rsid w:val="34DB096D"/>
    <w:rsid w:val="360F80FE"/>
    <w:rsid w:val="375B671E"/>
    <w:rsid w:val="46020A66"/>
    <w:rsid w:val="493581BC"/>
    <w:rsid w:val="60341725"/>
    <w:rsid w:val="6BB04F5A"/>
    <w:rsid w:val="7F9ACC71"/>
    <w:rsid w:val="7FCE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0283"/>
  <w15:chartTrackingRefBased/>
  <w15:docId w15:val="{3AC55000-56F4-4BFF-8CC4-F0796CE1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508B4"/>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663F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FD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081"/>
    <w:pPr>
      <w:keepNext/>
      <w:keepLines/>
      <w:spacing w:before="40" w:line="259"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63F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0081"/>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rsid w:val="002508B4"/>
    <w:rPr>
      <w:sz w:val="20"/>
    </w:rPr>
  </w:style>
  <w:style w:type="character" w:customStyle="1" w:styleId="FootnoteTextChar">
    <w:name w:val="Footnote Text Char"/>
    <w:basedOn w:val="DefaultParagraphFont"/>
    <w:link w:val="FootnoteText"/>
    <w:uiPriority w:val="99"/>
    <w:rsid w:val="00250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08B4"/>
    <w:rPr>
      <w:vertAlign w:val="superscript"/>
    </w:rPr>
  </w:style>
  <w:style w:type="paragraph" w:styleId="BodyText">
    <w:name w:val="Body Text"/>
    <w:basedOn w:val="Normal"/>
    <w:link w:val="BodyTextChar"/>
    <w:uiPriority w:val="1"/>
    <w:qFormat/>
    <w:rsid w:val="002508B4"/>
    <w:rPr>
      <w:sz w:val="28"/>
    </w:rPr>
  </w:style>
  <w:style w:type="character" w:customStyle="1" w:styleId="BodyTextChar">
    <w:name w:val="Body Text Char"/>
    <w:basedOn w:val="DefaultParagraphFont"/>
    <w:link w:val="BodyText"/>
    <w:uiPriority w:val="1"/>
    <w:rsid w:val="002508B4"/>
    <w:rPr>
      <w:rFonts w:ascii="Times New Roman" w:eastAsia="Times New Roman" w:hAnsi="Times New Roman" w:cs="Times New Roman"/>
      <w:sz w:val="28"/>
      <w:szCs w:val="20"/>
    </w:rPr>
  </w:style>
  <w:style w:type="character" w:styleId="Hyperlink">
    <w:name w:val="Hyperlink"/>
    <w:basedOn w:val="DefaultParagraphFont"/>
    <w:uiPriority w:val="99"/>
    <w:rsid w:val="002508B4"/>
    <w:rPr>
      <w:color w:val="0000FF"/>
      <w:u w:val="single"/>
    </w:rPr>
  </w:style>
  <w:style w:type="paragraph" w:styleId="ListParagraph">
    <w:name w:val="List Paragraph"/>
    <w:basedOn w:val="Normal"/>
    <w:uiPriority w:val="34"/>
    <w:qFormat/>
    <w:rsid w:val="002508B4"/>
    <w:pPr>
      <w:ind w:left="720"/>
    </w:pPr>
  </w:style>
  <w:style w:type="paragraph" w:styleId="Header">
    <w:name w:val="header"/>
    <w:basedOn w:val="Normal"/>
    <w:link w:val="HeaderChar"/>
    <w:uiPriority w:val="99"/>
    <w:unhideWhenUsed/>
    <w:rsid w:val="002508B4"/>
    <w:pPr>
      <w:tabs>
        <w:tab w:val="center" w:pos="4680"/>
        <w:tab w:val="right" w:pos="9360"/>
      </w:tabs>
    </w:pPr>
  </w:style>
  <w:style w:type="character" w:customStyle="1" w:styleId="HeaderChar">
    <w:name w:val="Header Char"/>
    <w:basedOn w:val="DefaultParagraphFont"/>
    <w:link w:val="Header"/>
    <w:uiPriority w:val="99"/>
    <w:rsid w:val="002508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8B4"/>
    <w:pPr>
      <w:tabs>
        <w:tab w:val="center" w:pos="4680"/>
        <w:tab w:val="right" w:pos="9360"/>
      </w:tabs>
    </w:pPr>
  </w:style>
  <w:style w:type="character" w:customStyle="1" w:styleId="FooterChar">
    <w:name w:val="Footer Char"/>
    <w:basedOn w:val="DefaultParagraphFont"/>
    <w:link w:val="Footer"/>
    <w:uiPriority w:val="99"/>
    <w:rsid w:val="002508B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663FD9"/>
    <w:rPr>
      <w:rFonts w:eastAsiaTheme="minorHAnsi"/>
      <w:sz w:val="20"/>
    </w:rPr>
  </w:style>
  <w:style w:type="character" w:customStyle="1" w:styleId="CommentTextChar">
    <w:name w:val="Comment Text Char"/>
    <w:basedOn w:val="DefaultParagraphFont"/>
    <w:link w:val="CommentText"/>
    <w:uiPriority w:val="99"/>
    <w:rsid w:val="00663F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7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37AD"/>
    <w:rPr>
      <w:sz w:val="16"/>
      <w:szCs w:val="16"/>
    </w:rPr>
  </w:style>
  <w:style w:type="paragraph" w:styleId="CommentSubject">
    <w:name w:val="annotation subject"/>
    <w:basedOn w:val="CommentText"/>
    <w:next w:val="CommentText"/>
    <w:link w:val="CommentSubjectChar"/>
    <w:uiPriority w:val="99"/>
    <w:semiHidden/>
    <w:unhideWhenUsed/>
    <w:rsid w:val="00E737AD"/>
    <w:rPr>
      <w:rFonts w:eastAsia="Times New Roman"/>
      <w:b/>
      <w:bCs/>
    </w:rPr>
  </w:style>
  <w:style w:type="character" w:customStyle="1" w:styleId="CommentSubjectChar">
    <w:name w:val="Comment Subject Char"/>
    <w:basedOn w:val="CommentTextChar"/>
    <w:link w:val="CommentSubject"/>
    <w:uiPriority w:val="99"/>
    <w:semiHidden/>
    <w:rsid w:val="00E737AD"/>
    <w:rPr>
      <w:rFonts w:ascii="Times New Roman" w:eastAsia="Times New Roman" w:hAnsi="Times New Roman" w:cs="Times New Roman"/>
      <w:b/>
      <w:bCs/>
      <w:sz w:val="20"/>
      <w:szCs w:val="20"/>
    </w:rPr>
  </w:style>
  <w:style w:type="paragraph" w:styleId="NormalWeb">
    <w:name w:val="Normal (Web)"/>
    <w:basedOn w:val="Normal"/>
    <w:uiPriority w:val="99"/>
    <w:unhideWhenUsed/>
    <w:rsid w:val="00C30081"/>
    <w:pPr>
      <w:spacing w:before="100" w:beforeAutospacing="1" w:after="100" w:afterAutospacing="1"/>
    </w:pPr>
    <w:rPr>
      <w:szCs w:val="24"/>
    </w:rPr>
  </w:style>
  <w:style w:type="character" w:styleId="Strong">
    <w:name w:val="Strong"/>
    <w:basedOn w:val="DefaultParagraphFont"/>
    <w:uiPriority w:val="22"/>
    <w:qFormat/>
    <w:rsid w:val="00C30081"/>
    <w:rPr>
      <w:b/>
      <w:bCs/>
    </w:rPr>
  </w:style>
  <w:style w:type="paragraph" w:styleId="Caption">
    <w:name w:val="caption"/>
    <w:basedOn w:val="Normal"/>
    <w:next w:val="Normal"/>
    <w:uiPriority w:val="35"/>
    <w:qFormat/>
    <w:rsid w:val="00C30081"/>
    <w:pPr>
      <w:tabs>
        <w:tab w:val="left" w:pos="3870"/>
      </w:tabs>
    </w:pPr>
  </w:style>
  <w:style w:type="table" w:styleId="TableGrid">
    <w:name w:val="Table Grid"/>
    <w:basedOn w:val="TableNormal"/>
    <w:uiPriority w:val="39"/>
    <w:rsid w:val="00C300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30081"/>
    <w:rPr>
      <w:smallCaps/>
      <w:color w:val="5A5A5A" w:themeColor="text1" w:themeTint="A5"/>
    </w:rPr>
  </w:style>
  <w:style w:type="paragraph" w:styleId="TOCHeading">
    <w:name w:val="TOC Heading"/>
    <w:basedOn w:val="Heading1"/>
    <w:next w:val="Normal"/>
    <w:uiPriority w:val="39"/>
    <w:unhideWhenUsed/>
    <w:qFormat/>
    <w:rsid w:val="00C3008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30081"/>
    <w:pPr>
      <w:spacing w:after="100" w:line="259" w:lineRule="auto"/>
    </w:pPr>
    <w:rPr>
      <w:rFonts w:eastAsiaTheme="minorHAnsi"/>
      <w:szCs w:val="24"/>
    </w:rPr>
  </w:style>
  <w:style w:type="paragraph" w:styleId="TOC2">
    <w:name w:val="toc 2"/>
    <w:basedOn w:val="Normal"/>
    <w:next w:val="Normal"/>
    <w:autoRedefine/>
    <w:uiPriority w:val="39"/>
    <w:unhideWhenUsed/>
    <w:rsid w:val="00C30081"/>
    <w:pPr>
      <w:spacing w:after="100" w:line="259" w:lineRule="auto"/>
      <w:ind w:left="240"/>
    </w:pPr>
    <w:rPr>
      <w:rFonts w:eastAsiaTheme="minorHAnsi"/>
      <w:szCs w:val="24"/>
    </w:rPr>
  </w:style>
  <w:style w:type="paragraph" w:styleId="TOC3">
    <w:name w:val="toc 3"/>
    <w:basedOn w:val="Normal"/>
    <w:next w:val="Normal"/>
    <w:autoRedefine/>
    <w:uiPriority w:val="39"/>
    <w:unhideWhenUsed/>
    <w:rsid w:val="00C30081"/>
    <w:pPr>
      <w:spacing w:after="100" w:line="259" w:lineRule="auto"/>
      <w:ind w:left="480"/>
    </w:pPr>
    <w:rPr>
      <w:rFonts w:eastAsiaTheme="minorHAnsi"/>
      <w:szCs w:val="24"/>
    </w:rPr>
  </w:style>
  <w:style w:type="paragraph" w:styleId="TOC4">
    <w:name w:val="toc 4"/>
    <w:basedOn w:val="Normal"/>
    <w:next w:val="Normal"/>
    <w:autoRedefine/>
    <w:uiPriority w:val="39"/>
    <w:unhideWhenUsed/>
    <w:rsid w:val="00C30081"/>
    <w:pPr>
      <w:spacing w:after="100" w:line="259" w:lineRule="auto"/>
      <w:ind w:left="720"/>
    </w:pPr>
    <w:rPr>
      <w:rFonts w:eastAsiaTheme="minorHAnsi"/>
      <w:szCs w:val="24"/>
    </w:rPr>
  </w:style>
  <w:style w:type="character" w:styleId="FollowedHyperlink">
    <w:name w:val="FollowedHyperlink"/>
    <w:basedOn w:val="DefaultParagraphFont"/>
    <w:uiPriority w:val="99"/>
    <w:semiHidden/>
    <w:unhideWhenUsed/>
    <w:rsid w:val="00017F44"/>
    <w:rPr>
      <w:color w:val="954F72" w:themeColor="followedHyperlink"/>
      <w:u w:val="single"/>
    </w:rPr>
  </w:style>
  <w:style w:type="character" w:customStyle="1" w:styleId="apple-converted-space">
    <w:name w:val="apple-converted-space"/>
    <w:basedOn w:val="DefaultParagraphFont"/>
    <w:rsid w:val="00953EF6"/>
  </w:style>
  <w:style w:type="character" w:styleId="Emphasis">
    <w:name w:val="Emphasis"/>
    <w:basedOn w:val="DefaultParagraphFont"/>
    <w:uiPriority w:val="20"/>
    <w:qFormat/>
    <w:rsid w:val="00953EF6"/>
    <w:rPr>
      <w:i/>
      <w:iCs/>
    </w:rPr>
  </w:style>
  <w:style w:type="character" w:customStyle="1" w:styleId="UnresolvedMention1">
    <w:name w:val="Unresolved Mention1"/>
    <w:basedOn w:val="DefaultParagraphFont"/>
    <w:uiPriority w:val="99"/>
    <w:semiHidden/>
    <w:unhideWhenUsed/>
    <w:rsid w:val="00A73614"/>
    <w:rPr>
      <w:color w:val="605E5C"/>
      <w:shd w:val="clear" w:color="auto" w:fill="E1DFDD"/>
    </w:rPr>
  </w:style>
  <w:style w:type="paragraph" w:styleId="Revision">
    <w:name w:val="Revision"/>
    <w:hidden/>
    <w:uiPriority w:val="99"/>
    <w:semiHidden/>
    <w:rsid w:val="008D0150"/>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66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a@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B0C7C2-F79C-024C-A7E2-C9B86640DA4F}">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Order xmlns="93b1636a-2fb9-4568-9c47-85ef215006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12" ma:contentTypeDescription="Create a new document." ma:contentTypeScope="" ma:versionID="687882f95d6a517d47e06bf72f59d6e6">
  <xsd:schema xmlns:xsd="http://www.w3.org/2001/XMLSchema" xmlns:xs="http://www.w3.org/2001/XMLSchema" xmlns:p="http://schemas.microsoft.com/office/2006/metadata/properties" xmlns:ns2="93b1636a-2fb9-4568-9c47-85ef21500611" xmlns:ns3="5e58766e-a9a6-44cc-accb-798c26d5f1fd" targetNamespace="http://schemas.microsoft.com/office/2006/metadata/properties" ma:root="true" ma:fieldsID="da09aab39100210938edf2b63b9a7aa6" ns2:_="" ns3:_="">
    <xsd:import namespace="93b1636a-2fb9-4568-9c47-85ef21500611"/>
    <xsd:import namespace="5e58766e-a9a6-44cc-accb-798c26d5f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ocumentOrd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ocumentOrder" ma:index="18" nillable="true" ma:displayName="Document Order" ma:format="Dropdown" ma:internalName="DocumentOrder" ma:percentage="FALSE">
      <xsd:simpleType>
        <xsd:restriction base="dms:Number"/>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B13B-6F37-440E-A442-5C70EECC53BE}">
  <ds:schemaRefs>
    <ds:schemaRef ds:uri="http://schemas.microsoft.com/office/2006/metadata/properties"/>
    <ds:schemaRef ds:uri="http://schemas.microsoft.com/office/infopath/2007/PartnerControls"/>
    <ds:schemaRef ds:uri="93b1636a-2fb9-4568-9c47-85ef21500611"/>
  </ds:schemaRefs>
</ds:datastoreItem>
</file>

<file path=customXml/itemProps2.xml><?xml version="1.0" encoding="utf-8"?>
<ds:datastoreItem xmlns:ds="http://schemas.openxmlformats.org/officeDocument/2006/customXml" ds:itemID="{6AF188B3-7B3C-4E27-81B7-D3075E317060}">
  <ds:schemaRefs>
    <ds:schemaRef ds:uri="http://schemas.microsoft.com/sharepoint/v3/contenttype/forms"/>
  </ds:schemaRefs>
</ds:datastoreItem>
</file>

<file path=customXml/itemProps3.xml><?xml version="1.0" encoding="utf-8"?>
<ds:datastoreItem xmlns:ds="http://schemas.openxmlformats.org/officeDocument/2006/customXml" ds:itemID="{1E741401-56D3-4D5A-BB27-B64A35838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636a-2fb9-4568-9c47-85ef21500611"/>
    <ds:schemaRef ds:uri="5e58766e-a9a6-44cc-accb-798c26d5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4FCD6-AD53-4DA6-B4D5-D9509974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Sekardi, Kathy</dc:creator>
  <cp:lastModifiedBy>Farmer, Brianna C</cp:lastModifiedBy>
  <cp:revision>32</cp:revision>
  <cp:lastPrinted>2020-01-29T23:06:00Z</cp:lastPrinted>
  <dcterms:created xsi:type="dcterms:W3CDTF">2021-03-08T14:25:00Z</dcterms:created>
  <dcterms:modified xsi:type="dcterms:W3CDTF">2021-08-25T22:12:00Z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0x010100B35A37C56BC3BF4BB65C4D8F6083AF62</vt:lpwstr>
  </property>
  <property fmtid="{D5CDD505-2E9C-101B-9397-08002B2CF9AE}" pid="3" name="grammarly_documentId">
    <vt:lpwstr>documentId_2586</vt:lpwstr>
  </property>
  <property fmtid="{D5CDD505-2E9C-101B-9397-08002B2CF9AE}" pid="4" name="Order">
    <vt:r8>100</vt:r8>
  </property>
</Properties>
</file>